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7FFA" w14:textId="55BF031C" w:rsidR="00B25044" w:rsidRPr="000330E5" w:rsidRDefault="00B25044" w:rsidP="0072005E">
      <w:pPr>
        <w:jc w:val="center"/>
        <w:rPr>
          <w:rFonts w:ascii="Palatino Linotype" w:hAnsi="Palatino Linotype" w:cs="Times New Roman"/>
          <w:sz w:val="22"/>
          <w:szCs w:val="22"/>
        </w:rPr>
      </w:pPr>
      <w:bookmarkStart w:id="0" w:name="_GoBack"/>
      <w:bookmarkEnd w:id="0"/>
    </w:p>
    <w:p w14:paraId="28F9DF24" w14:textId="28D6C599" w:rsidR="008B5F3A" w:rsidRPr="000330E5" w:rsidRDefault="008B5F3A" w:rsidP="0072005E">
      <w:pPr>
        <w:jc w:val="center"/>
        <w:rPr>
          <w:rFonts w:ascii="Palatino Linotype" w:hAnsi="Palatino Linotype" w:cs="Times New Roman"/>
          <w:sz w:val="22"/>
          <w:szCs w:val="22"/>
        </w:rPr>
      </w:pPr>
      <w:r w:rsidRPr="000330E5">
        <w:rPr>
          <w:rFonts w:ascii="Palatino Linotype" w:hAnsi="Palatino Linotype" w:cs="Times New Roman"/>
          <w:noProof/>
          <w:sz w:val="22"/>
          <w:szCs w:val="22"/>
          <w:lang w:eastAsia="en-GB"/>
        </w:rPr>
        <w:drawing>
          <wp:anchor distT="0" distB="0" distL="114300" distR="114300" simplePos="0" relativeHeight="251659264" behindDoc="0" locked="0" layoutInCell="1" allowOverlap="1" wp14:anchorId="52674F21" wp14:editId="6775B95D">
            <wp:simplePos x="0" y="0"/>
            <wp:positionH relativeFrom="column">
              <wp:posOffset>2221527</wp:posOffset>
            </wp:positionH>
            <wp:positionV relativeFrom="paragraph">
              <wp:posOffset>50165</wp:posOffset>
            </wp:positionV>
            <wp:extent cx="1079500" cy="1092200"/>
            <wp:effectExtent l="0" t="0" r="12700" b="0"/>
            <wp:wrapSquare wrapText="bothSides"/>
            <wp:docPr id="1" name="Picture 1" descr="Logo, B&amp;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92200"/>
                    </a:xfrm>
                    <a:prstGeom prst="rect">
                      <a:avLst/>
                    </a:prstGeom>
                    <a:noFill/>
                    <a:ln>
                      <a:noFill/>
                    </a:ln>
                  </pic:spPr>
                </pic:pic>
              </a:graphicData>
            </a:graphic>
          </wp:anchor>
        </w:drawing>
      </w:r>
    </w:p>
    <w:p w14:paraId="14F243DE" w14:textId="77777777" w:rsidR="008B5F3A" w:rsidRPr="000330E5" w:rsidRDefault="008B5F3A" w:rsidP="0072005E">
      <w:pPr>
        <w:jc w:val="center"/>
        <w:rPr>
          <w:rFonts w:ascii="Palatino Linotype" w:hAnsi="Palatino Linotype" w:cs="Times New Roman"/>
          <w:sz w:val="22"/>
          <w:szCs w:val="22"/>
        </w:rPr>
      </w:pPr>
    </w:p>
    <w:p w14:paraId="7FB96B3A" w14:textId="77777777" w:rsidR="008B5F3A" w:rsidRPr="000330E5" w:rsidRDefault="008B5F3A" w:rsidP="0072005E">
      <w:pPr>
        <w:jc w:val="center"/>
        <w:rPr>
          <w:rFonts w:ascii="Palatino Linotype" w:hAnsi="Palatino Linotype" w:cs="Times New Roman"/>
          <w:i/>
          <w:sz w:val="22"/>
          <w:szCs w:val="22"/>
        </w:rPr>
      </w:pPr>
    </w:p>
    <w:p w14:paraId="07537C92" w14:textId="77777777" w:rsidR="008B5F3A" w:rsidRPr="000330E5" w:rsidRDefault="008B5F3A" w:rsidP="0072005E">
      <w:pPr>
        <w:jc w:val="center"/>
        <w:rPr>
          <w:rFonts w:ascii="Palatino Linotype" w:hAnsi="Palatino Linotype" w:cs="Times New Roman"/>
          <w:i/>
          <w:sz w:val="22"/>
          <w:szCs w:val="22"/>
        </w:rPr>
      </w:pPr>
    </w:p>
    <w:p w14:paraId="28DEA11E" w14:textId="77777777" w:rsidR="008B5F3A" w:rsidRPr="000330E5" w:rsidRDefault="008B5F3A" w:rsidP="0072005E">
      <w:pPr>
        <w:jc w:val="center"/>
        <w:rPr>
          <w:rFonts w:ascii="Palatino Linotype" w:hAnsi="Palatino Linotype" w:cs="Times New Roman"/>
          <w:i/>
          <w:sz w:val="22"/>
          <w:szCs w:val="22"/>
        </w:rPr>
      </w:pPr>
    </w:p>
    <w:p w14:paraId="7FD7B896" w14:textId="77777777" w:rsidR="008B5F3A" w:rsidRPr="000330E5" w:rsidRDefault="008B5F3A" w:rsidP="0072005E">
      <w:pPr>
        <w:jc w:val="center"/>
        <w:rPr>
          <w:rFonts w:ascii="Palatino Linotype" w:hAnsi="Palatino Linotype" w:cs="Times New Roman"/>
          <w:i/>
          <w:sz w:val="22"/>
          <w:szCs w:val="22"/>
        </w:rPr>
      </w:pPr>
    </w:p>
    <w:p w14:paraId="78341148" w14:textId="77777777" w:rsidR="008B5F3A" w:rsidRPr="000330E5" w:rsidRDefault="008B5F3A" w:rsidP="0071220C">
      <w:pPr>
        <w:rPr>
          <w:rFonts w:ascii="Palatino Linotype" w:hAnsi="Palatino Linotype" w:cs="Times New Roman"/>
          <w:i/>
          <w:sz w:val="22"/>
          <w:szCs w:val="22"/>
        </w:rPr>
      </w:pPr>
    </w:p>
    <w:p w14:paraId="21B99639" w14:textId="77777777" w:rsidR="003066FF" w:rsidRPr="000330E5" w:rsidRDefault="003066FF" w:rsidP="0072005E">
      <w:pPr>
        <w:jc w:val="center"/>
        <w:rPr>
          <w:rFonts w:ascii="Palatino Linotype" w:hAnsi="Palatino Linotype" w:cs="Times New Roman"/>
          <w:i/>
          <w:sz w:val="22"/>
          <w:szCs w:val="22"/>
        </w:rPr>
      </w:pPr>
    </w:p>
    <w:p w14:paraId="0088005B" w14:textId="1E485B49" w:rsidR="008B5F3A" w:rsidRDefault="008B5F3A" w:rsidP="00F61B26">
      <w:pPr>
        <w:jc w:val="center"/>
        <w:rPr>
          <w:rFonts w:ascii="Palatino Linotype" w:hAnsi="Palatino Linotype" w:cs="Times New Roman"/>
          <w:i/>
          <w:sz w:val="22"/>
          <w:szCs w:val="22"/>
        </w:rPr>
      </w:pPr>
      <w:r w:rsidRPr="000330E5">
        <w:rPr>
          <w:rFonts w:ascii="Palatino Linotype" w:hAnsi="Palatino Linotype" w:cs="Times New Roman"/>
          <w:i/>
          <w:sz w:val="22"/>
          <w:szCs w:val="22"/>
        </w:rPr>
        <w:t>Student Suc</w:t>
      </w:r>
      <w:r w:rsidR="00BD78F9">
        <w:rPr>
          <w:rFonts w:ascii="Palatino Linotype" w:hAnsi="Palatino Linotype" w:cs="Times New Roman"/>
          <w:i/>
          <w:sz w:val="22"/>
          <w:szCs w:val="22"/>
        </w:rPr>
        <w:t xml:space="preserve">cess and Retention Policy </w:t>
      </w:r>
      <w:r w:rsidR="00862F22">
        <w:rPr>
          <w:rFonts w:ascii="Palatino Linotype" w:hAnsi="Palatino Linotype" w:cs="Times New Roman"/>
          <w:i/>
          <w:sz w:val="22"/>
          <w:szCs w:val="22"/>
        </w:rPr>
        <w:t>–</w:t>
      </w:r>
      <w:r w:rsidR="00BD78F9">
        <w:rPr>
          <w:rFonts w:ascii="Palatino Linotype" w:hAnsi="Palatino Linotype" w:cs="Times New Roman"/>
          <w:i/>
          <w:sz w:val="22"/>
          <w:szCs w:val="22"/>
        </w:rPr>
        <w:t xml:space="preserve"> 2017</w:t>
      </w:r>
    </w:p>
    <w:p w14:paraId="04617A25" w14:textId="2A6B8425" w:rsidR="00862F22" w:rsidRPr="000330E5" w:rsidRDefault="00862F22" w:rsidP="0072005E">
      <w:pPr>
        <w:jc w:val="center"/>
        <w:rPr>
          <w:rFonts w:ascii="Palatino Linotype" w:hAnsi="Palatino Linotype" w:cs="Times New Roman"/>
          <w:i/>
          <w:sz w:val="22"/>
          <w:szCs w:val="22"/>
        </w:rPr>
      </w:pPr>
      <w:r>
        <w:rPr>
          <w:rFonts w:ascii="Palatino Linotype" w:hAnsi="Palatino Linotype" w:cs="Times New Roman"/>
          <w:i/>
          <w:sz w:val="22"/>
          <w:szCs w:val="22"/>
        </w:rPr>
        <w:t xml:space="preserve">With particular attention to First Years </w:t>
      </w:r>
    </w:p>
    <w:p w14:paraId="0713CFAD" w14:textId="77777777" w:rsidR="008B5F3A" w:rsidRPr="000330E5" w:rsidRDefault="008B5F3A" w:rsidP="0072005E">
      <w:pPr>
        <w:jc w:val="center"/>
        <w:rPr>
          <w:rFonts w:ascii="Palatino Linotype" w:hAnsi="Palatino Linotype" w:cs="Times New Roman"/>
          <w:i/>
          <w:sz w:val="22"/>
          <w:szCs w:val="22"/>
        </w:rPr>
      </w:pPr>
    </w:p>
    <w:p w14:paraId="3CF4FE29" w14:textId="51CC39A3" w:rsidR="008B5F3A" w:rsidRPr="000330E5" w:rsidRDefault="008B5F3A" w:rsidP="0072005E">
      <w:pPr>
        <w:jc w:val="center"/>
        <w:rPr>
          <w:rFonts w:ascii="Palatino Linotype" w:hAnsi="Palatino Linotype" w:cs="Times New Roman"/>
          <w:i/>
          <w:sz w:val="22"/>
          <w:szCs w:val="22"/>
        </w:rPr>
      </w:pPr>
      <w:r w:rsidRPr="000330E5">
        <w:rPr>
          <w:rFonts w:ascii="Palatino Linotype" w:hAnsi="Palatino Linotype" w:cs="Times New Roman"/>
          <w:i/>
          <w:sz w:val="22"/>
          <w:szCs w:val="22"/>
        </w:rPr>
        <w:t>The Faculty of Theology</w:t>
      </w:r>
    </w:p>
    <w:p w14:paraId="5C29E7BA" w14:textId="2B3C3165" w:rsidR="00BD78F9" w:rsidRDefault="008B5F3A" w:rsidP="00BD78F9">
      <w:pPr>
        <w:jc w:val="center"/>
        <w:rPr>
          <w:rFonts w:ascii="Palatino Linotype" w:hAnsi="Palatino Linotype" w:cs="Times New Roman"/>
          <w:i/>
          <w:sz w:val="22"/>
          <w:szCs w:val="22"/>
        </w:rPr>
      </w:pPr>
      <w:r w:rsidRPr="000330E5">
        <w:rPr>
          <w:rFonts w:ascii="Palatino Linotype" w:hAnsi="Palatino Linotype" w:cs="Times New Roman"/>
          <w:i/>
          <w:sz w:val="22"/>
          <w:szCs w:val="22"/>
        </w:rPr>
        <w:t>St Patrick’s College, Maynooth</w:t>
      </w:r>
    </w:p>
    <w:p w14:paraId="4EABADED" w14:textId="77777777" w:rsidR="00BD78F9" w:rsidRPr="000330E5" w:rsidRDefault="00BD78F9" w:rsidP="0072005E">
      <w:pPr>
        <w:jc w:val="both"/>
        <w:rPr>
          <w:rFonts w:ascii="Palatino Linotype" w:hAnsi="Palatino Linotype" w:cs="Times New Roman"/>
          <w:i/>
          <w:sz w:val="22"/>
          <w:szCs w:val="22"/>
        </w:rPr>
      </w:pPr>
    </w:p>
    <w:p w14:paraId="54F28745" w14:textId="2EED5835" w:rsidR="004C3EEB" w:rsidRPr="000330E5" w:rsidRDefault="004C3EEB" w:rsidP="0072005E">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Table of Contents </w:t>
      </w:r>
    </w:p>
    <w:p w14:paraId="625DAF9C" w14:textId="73E33E8C" w:rsidR="004C3EEB" w:rsidRPr="000330E5" w:rsidRDefault="004C3EEB" w:rsidP="0072005E">
      <w:pPr>
        <w:pStyle w:val="ListParagraph"/>
        <w:numPr>
          <w:ilvl w:val="0"/>
          <w:numId w:val="3"/>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Introduction </w:t>
      </w:r>
    </w:p>
    <w:p w14:paraId="183B10C8" w14:textId="52DC3BB2" w:rsidR="0089219E" w:rsidRDefault="0071220C" w:rsidP="0072005E">
      <w:pPr>
        <w:pStyle w:val="ListParagraph"/>
        <w:numPr>
          <w:ilvl w:val="0"/>
          <w:numId w:val="3"/>
        </w:numPr>
        <w:jc w:val="both"/>
        <w:rPr>
          <w:rFonts w:ascii="Palatino Linotype" w:hAnsi="Palatino Linotype" w:cs="Times New Roman"/>
          <w:sz w:val="22"/>
          <w:szCs w:val="22"/>
        </w:rPr>
      </w:pPr>
      <w:r>
        <w:rPr>
          <w:rFonts w:ascii="Palatino Linotype" w:hAnsi="Palatino Linotype" w:cs="Times New Roman"/>
          <w:sz w:val="22"/>
          <w:szCs w:val="22"/>
        </w:rPr>
        <w:t xml:space="preserve">Overview: </w:t>
      </w:r>
      <w:r w:rsidR="0089219E" w:rsidRPr="000330E5">
        <w:rPr>
          <w:rFonts w:ascii="Palatino Linotype" w:hAnsi="Palatino Linotype" w:cs="Times New Roman"/>
          <w:sz w:val="22"/>
          <w:szCs w:val="22"/>
        </w:rPr>
        <w:t xml:space="preserve">Statistics </w:t>
      </w:r>
    </w:p>
    <w:p w14:paraId="030CB9B4" w14:textId="1A3CCE76" w:rsidR="0071220C" w:rsidRPr="000330E5" w:rsidRDefault="0071220C" w:rsidP="0072005E">
      <w:pPr>
        <w:pStyle w:val="ListParagraph"/>
        <w:numPr>
          <w:ilvl w:val="0"/>
          <w:numId w:val="3"/>
        </w:numPr>
        <w:jc w:val="both"/>
        <w:rPr>
          <w:rFonts w:ascii="Palatino Linotype" w:hAnsi="Palatino Linotype" w:cs="Times New Roman"/>
          <w:sz w:val="22"/>
          <w:szCs w:val="22"/>
        </w:rPr>
      </w:pPr>
      <w:r>
        <w:rPr>
          <w:rFonts w:ascii="Palatino Linotype" w:hAnsi="Palatino Linotype" w:cs="Times New Roman"/>
          <w:sz w:val="22"/>
          <w:szCs w:val="22"/>
        </w:rPr>
        <w:t xml:space="preserve">Literature Review </w:t>
      </w:r>
    </w:p>
    <w:p w14:paraId="26347759" w14:textId="29687FE3" w:rsidR="004C3EEB" w:rsidRPr="000330E5" w:rsidRDefault="0071220C" w:rsidP="0072005E">
      <w:pPr>
        <w:pStyle w:val="ListParagraph"/>
        <w:numPr>
          <w:ilvl w:val="0"/>
          <w:numId w:val="3"/>
        </w:numPr>
        <w:jc w:val="both"/>
        <w:rPr>
          <w:rFonts w:ascii="Palatino Linotype" w:hAnsi="Palatino Linotype" w:cs="Times New Roman"/>
          <w:sz w:val="22"/>
          <w:szCs w:val="22"/>
        </w:rPr>
      </w:pPr>
      <w:r>
        <w:rPr>
          <w:rFonts w:ascii="Palatino Linotype" w:hAnsi="Palatino Linotype" w:cs="Times New Roman"/>
          <w:sz w:val="22"/>
          <w:szCs w:val="22"/>
        </w:rPr>
        <w:t xml:space="preserve">Purpose of the Policy </w:t>
      </w:r>
    </w:p>
    <w:p w14:paraId="556B0637" w14:textId="0F601ECF" w:rsidR="004C3EEB" w:rsidRDefault="004C3EEB" w:rsidP="0072005E">
      <w:pPr>
        <w:pStyle w:val="ListParagraph"/>
        <w:numPr>
          <w:ilvl w:val="0"/>
          <w:numId w:val="3"/>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Key Principles </w:t>
      </w:r>
      <w:r w:rsidR="0071220C">
        <w:rPr>
          <w:rFonts w:ascii="Palatino Linotype" w:hAnsi="Palatino Linotype" w:cs="Times New Roman"/>
          <w:sz w:val="22"/>
          <w:szCs w:val="22"/>
        </w:rPr>
        <w:t xml:space="preserve">to Inform Action </w:t>
      </w:r>
    </w:p>
    <w:p w14:paraId="290A68B8" w14:textId="758A9502" w:rsidR="0071220C" w:rsidRDefault="0071220C" w:rsidP="0072005E">
      <w:pPr>
        <w:pStyle w:val="ListParagraph"/>
        <w:numPr>
          <w:ilvl w:val="0"/>
          <w:numId w:val="3"/>
        </w:numPr>
        <w:jc w:val="both"/>
        <w:rPr>
          <w:rFonts w:ascii="Palatino Linotype" w:hAnsi="Palatino Linotype" w:cs="Times New Roman"/>
          <w:sz w:val="22"/>
          <w:szCs w:val="22"/>
        </w:rPr>
      </w:pPr>
      <w:r>
        <w:rPr>
          <w:rFonts w:ascii="Palatino Linotype" w:hAnsi="Palatino Linotype" w:cs="Times New Roman"/>
          <w:sz w:val="22"/>
          <w:szCs w:val="22"/>
        </w:rPr>
        <w:t xml:space="preserve">Towards a Strategy </w:t>
      </w:r>
    </w:p>
    <w:p w14:paraId="3020ECBC" w14:textId="701B42BD" w:rsidR="00F075B9" w:rsidRDefault="009D7EBD" w:rsidP="0072005E">
      <w:pPr>
        <w:pStyle w:val="ListParagraph"/>
        <w:numPr>
          <w:ilvl w:val="0"/>
          <w:numId w:val="3"/>
        </w:numPr>
        <w:jc w:val="both"/>
        <w:rPr>
          <w:rFonts w:ascii="Palatino Linotype" w:hAnsi="Palatino Linotype" w:cs="Times New Roman"/>
          <w:sz w:val="22"/>
          <w:szCs w:val="22"/>
        </w:rPr>
      </w:pPr>
      <w:r>
        <w:rPr>
          <w:rFonts w:ascii="Palatino Linotype" w:hAnsi="Palatino Linotype" w:cs="Times New Roman"/>
          <w:sz w:val="22"/>
          <w:szCs w:val="22"/>
        </w:rPr>
        <w:t>Potential</w:t>
      </w:r>
      <w:r w:rsidR="00F075B9">
        <w:rPr>
          <w:rFonts w:ascii="Palatino Linotype" w:hAnsi="Palatino Linotype" w:cs="Times New Roman"/>
          <w:sz w:val="22"/>
          <w:szCs w:val="22"/>
        </w:rPr>
        <w:t xml:space="preserve"> Initiatives </w:t>
      </w:r>
    </w:p>
    <w:p w14:paraId="28FEF2B2" w14:textId="77777777" w:rsidR="0071220C" w:rsidRPr="000330E5" w:rsidRDefault="0071220C" w:rsidP="0071220C">
      <w:pPr>
        <w:pStyle w:val="ListParagraph"/>
        <w:jc w:val="both"/>
        <w:rPr>
          <w:rFonts w:ascii="Palatino Linotype" w:hAnsi="Palatino Linotype" w:cs="Times New Roman"/>
          <w:sz w:val="22"/>
          <w:szCs w:val="22"/>
        </w:rPr>
      </w:pPr>
    </w:p>
    <w:p w14:paraId="50191191" w14:textId="584707CA" w:rsidR="0057752F" w:rsidRDefault="0057752F" w:rsidP="0057752F">
      <w:pPr>
        <w:pStyle w:val="ListParagraph"/>
        <w:numPr>
          <w:ilvl w:val="0"/>
          <w:numId w:val="3"/>
        </w:numPr>
        <w:jc w:val="both"/>
        <w:rPr>
          <w:rFonts w:ascii="Palatino Linotype" w:hAnsi="Palatino Linotype" w:cs="Times New Roman"/>
          <w:sz w:val="22"/>
          <w:szCs w:val="22"/>
        </w:rPr>
      </w:pPr>
      <w:r>
        <w:rPr>
          <w:rFonts w:ascii="Palatino Linotype" w:hAnsi="Palatino Linotype" w:cs="Times New Roman"/>
          <w:sz w:val="22"/>
          <w:szCs w:val="22"/>
        </w:rPr>
        <w:t xml:space="preserve">Appendix A – Statistics for Faculty of Theology </w:t>
      </w:r>
    </w:p>
    <w:p w14:paraId="287CCA13" w14:textId="6949D8D6" w:rsidR="001A18C7" w:rsidRPr="000330E5" w:rsidRDefault="001A18C7" w:rsidP="0072005E">
      <w:pPr>
        <w:pStyle w:val="ListParagraph"/>
        <w:numPr>
          <w:ilvl w:val="0"/>
          <w:numId w:val="3"/>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Appendix </w:t>
      </w:r>
      <w:r w:rsidR="00AA046C">
        <w:rPr>
          <w:rFonts w:ascii="Palatino Linotype" w:hAnsi="Palatino Linotype" w:cs="Times New Roman"/>
          <w:sz w:val="22"/>
          <w:szCs w:val="22"/>
        </w:rPr>
        <w:t>B</w:t>
      </w:r>
      <w:r w:rsidR="0057752F">
        <w:rPr>
          <w:rFonts w:ascii="Palatino Linotype" w:hAnsi="Palatino Linotype" w:cs="Times New Roman"/>
          <w:sz w:val="22"/>
          <w:szCs w:val="22"/>
        </w:rPr>
        <w:t xml:space="preserve"> </w:t>
      </w:r>
      <w:r w:rsidRPr="000330E5">
        <w:rPr>
          <w:rFonts w:ascii="Palatino Linotype" w:hAnsi="Palatino Linotype" w:cs="Times New Roman"/>
          <w:sz w:val="22"/>
          <w:szCs w:val="22"/>
        </w:rPr>
        <w:t>– A Case Study: The First Seven Weeks at the University of Limerick</w:t>
      </w:r>
    </w:p>
    <w:p w14:paraId="3F37F32D" w14:textId="77777777" w:rsidR="008B5F3A" w:rsidRPr="000330E5" w:rsidRDefault="008B5F3A" w:rsidP="0072005E">
      <w:pPr>
        <w:jc w:val="both"/>
        <w:rPr>
          <w:rFonts w:ascii="Palatino Linotype" w:hAnsi="Palatino Linotype" w:cs="Times New Roman"/>
          <w:i/>
          <w:sz w:val="22"/>
          <w:szCs w:val="22"/>
        </w:rPr>
      </w:pPr>
    </w:p>
    <w:p w14:paraId="00FF5688" w14:textId="77777777" w:rsidR="0098409D" w:rsidRPr="000330E5" w:rsidRDefault="0098409D" w:rsidP="0072005E">
      <w:pPr>
        <w:jc w:val="both"/>
        <w:rPr>
          <w:rFonts w:ascii="Palatino Linotype" w:hAnsi="Palatino Linotype" w:cs="Times New Roman"/>
          <w:i/>
          <w:sz w:val="22"/>
          <w:szCs w:val="22"/>
        </w:rPr>
      </w:pPr>
    </w:p>
    <w:p w14:paraId="5EA75281" w14:textId="77777777" w:rsidR="0098409D" w:rsidRPr="000330E5" w:rsidRDefault="0098409D" w:rsidP="0072005E">
      <w:pPr>
        <w:jc w:val="right"/>
        <w:rPr>
          <w:rFonts w:ascii="Palatino Linotype" w:hAnsi="Palatino Linotype" w:cs="Times New Roman"/>
          <w:i/>
          <w:sz w:val="22"/>
          <w:szCs w:val="22"/>
        </w:rPr>
      </w:pPr>
    </w:p>
    <w:p w14:paraId="18C9D670" w14:textId="41B2A537" w:rsidR="005F37B0" w:rsidRPr="000330E5" w:rsidRDefault="0098409D" w:rsidP="0072005E">
      <w:pPr>
        <w:jc w:val="right"/>
        <w:rPr>
          <w:rFonts w:ascii="Palatino Linotype" w:hAnsi="Palatino Linotype" w:cs="Times New Roman"/>
          <w:sz w:val="22"/>
          <w:szCs w:val="22"/>
        </w:rPr>
      </w:pPr>
      <w:r w:rsidRPr="000330E5">
        <w:rPr>
          <w:rFonts w:ascii="Palatino Linotype" w:hAnsi="Palatino Linotype" w:cs="Times New Roman"/>
          <w:sz w:val="22"/>
          <w:szCs w:val="22"/>
        </w:rPr>
        <w:t xml:space="preserve">Catholic educational institutions offer everyone an education aimed at the integral development of the person that responds to the right of all people to have access to knowledge and understanding. </w:t>
      </w:r>
    </w:p>
    <w:p w14:paraId="1D471CB2" w14:textId="566F2586" w:rsidR="0098409D" w:rsidRPr="000330E5" w:rsidRDefault="0098409D" w:rsidP="0072005E">
      <w:pPr>
        <w:jc w:val="right"/>
        <w:rPr>
          <w:rFonts w:ascii="Palatino Linotype" w:hAnsi="Palatino Linotype" w:cs="Times New Roman"/>
          <w:sz w:val="22"/>
          <w:szCs w:val="22"/>
        </w:rPr>
      </w:pPr>
      <w:r w:rsidRPr="000330E5">
        <w:rPr>
          <w:rFonts w:ascii="Palatino Linotype" w:hAnsi="Palatino Linotype" w:cs="Times New Roman"/>
          <w:sz w:val="22"/>
          <w:szCs w:val="22"/>
        </w:rPr>
        <w:t xml:space="preserve">Pope Francis, </w:t>
      </w:r>
      <w:r w:rsidRPr="000330E5">
        <w:rPr>
          <w:rFonts w:ascii="Palatino Linotype" w:hAnsi="Palatino Linotype" w:cs="Times New Roman"/>
          <w:i/>
          <w:sz w:val="22"/>
          <w:szCs w:val="22"/>
        </w:rPr>
        <w:t>Address to The Congregation for Catholic Education</w:t>
      </w:r>
      <w:r w:rsidRPr="000330E5">
        <w:rPr>
          <w:rFonts w:ascii="Palatino Linotype" w:hAnsi="Palatino Linotype" w:cs="Times New Roman"/>
          <w:sz w:val="22"/>
          <w:szCs w:val="22"/>
        </w:rPr>
        <w:t xml:space="preserve">, 2014.  </w:t>
      </w:r>
    </w:p>
    <w:p w14:paraId="4C24A1CB" w14:textId="77777777" w:rsidR="0098409D" w:rsidRPr="000330E5" w:rsidRDefault="0098409D" w:rsidP="0072005E">
      <w:pPr>
        <w:jc w:val="both"/>
        <w:rPr>
          <w:rFonts w:ascii="Palatino Linotype" w:hAnsi="Palatino Linotype" w:cs="Times New Roman"/>
          <w:i/>
          <w:sz w:val="22"/>
          <w:szCs w:val="22"/>
        </w:rPr>
      </w:pPr>
    </w:p>
    <w:p w14:paraId="54151A6C" w14:textId="77777777" w:rsidR="0098409D" w:rsidRPr="000330E5" w:rsidRDefault="0098409D" w:rsidP="0072005E">
      <w:pPr>
        <w:jc w:val="both"/>
        <w:rPr>
          <w:rFonts w:ascii="Palatino Linotype" w:hAnsi="Palatino Linotype" w:cs="Times New Roman"/>
          <w:i/>
          <w:sz w:val="22"/>
          <w:szCs w:val="22"/>
        </w:rPr>
      </w:pPr>
    </w:p>
    <w:p w14:paraId="48A37454" w14:textId="77777777" w:rsidR="0098409D" w:rsidRPr="000330E5" w:rsidRDefault="0098409D" w:rsidP="0072005E">
      <w:pPr>
        <w:jc w:val="both"/>
        <w:rPr>
          <w:rFonts w:ascii="Palatino Linotype" w:hAnsi="Palatino Linotype" w:cs="Times New Roman"/>
          <w:i/>
          <w:sz w:val="22"/>
          <w:szCs w:val="22"/>
        </w:rPr>
      </w:pPr>
    </w:p>
    <w:p w14:paraId="59524316" w14:textId="4646B46C" w:rsidR="004D7535" w:rsidRPr="0071220C" w:rsidRDefault="00B25044" w:rsidP="0071220C">
      <w:pPr>
        <w:pStyle w:val="ListParagraph"/>
        <w:numPr>
          <w:ilvl w:val="0"/>
          <w:numId w:val="26"/>
        </w:numPr>
        <w:jc w:val="both"/>
        <w:rPr>
          <w:rFonts w:ascii="Palatino Linotype" w:hAnsi="Palatino Linotype" w:cs="Times New Roman"/>
          <w:i/>
          <w:sz w:val="22"/>
          <w:szCs w:val="22"/>
        </w:rPr>
      </w:pPr>
      <w:r w:rsidRPr="0071220C">
        <w:rPr>
          <w:rFonts w:ascii="Palatino Linotype" w:hAnsi="Palatino Linotype" w:cs="Times New Roman"/>
          <w:i/>
          <w:sz w:val="22"/>
          <w:szCs w:val="22"/>
        </w:rPr>
        <w:t xml:space="preserve">Introduction </w:t>
      </w:r>
    </w:p>
    <w:p w14:paraId="3036C1CF" w14:textId="1E408539" w:rsidR="004D7535" w:rsidRPr="000330E5" w:rsidRDefault="004D7535" w:rsidP="0072005E">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In 2011,</w:t>
      </w:r>
      <w:r w:rsidRPr="000330E5">
        <w:rPr>
          <w:rFonts w:ascii="Palatino Linotype" w:hAnsi="Palatino Linotype" w:cs="Times New Roman"/>
          <w:i/>
          <w:sz w:val="22"/>
          <w:szCs w:val="22"/>
        </w:rPr>
        <w:t xml:space="preserve"> The National Strategy for Higher Education to 2030</w:t>
      </w:r>
      <w:r w:rsidRPr="000330E5">
        <w:rPr>
          <w:rFonts w:ascii="Palatino Linotype" w:hAnsi="Palatino Linotype" w:cs="Times New Roman"/>
          <w:sz w:val="22"/>
          <w:szCs w:val="22"/>
        </w:rPr>
        <w:t xml:space="preserve"> (The Hunt Report) </w:t>
      </w:r>
      <w:r w:rsidR="00D807FD" w:rsidRPr="000330E5">
        <w:rPr>
          <w:rFonts w:ascii="Palatino Linotype" w:hAnsi="Palatino Linotype" w:cs="Times New Roman"/>
          <w:sz w:val="22"/>
          <w:szCs w:val="22"/>
        </w:rPr>
        <w:t>advised</w:t>
      </w:r>
      <w:r w:rsidRPr="000330E5">
        <w:rPr>
          <w:rFonts w:ascii="Palatino Linotype" w:hAnsi="Palatino Linotype" w:cs="Times New Roman"/>
          <w:sz w:val="22"/>
          <w:szCs w:val="22"/>
        </w:rPr>
        <w:t xml:space="preserve"> that ‘higher education institutions should prepare first-year students better for their learning experience, so that they can engage with </w:t>
      </w:r>
      <w:r w:rsidR="00326E99" w:rsidRPr="000330E5">
        <w:rPr>
          <w:rFonts w:ascii="Palatino Linotype" w:hAnsi="Palatino Linotype" w:cs="Times New Roman"/>
          <w:sz w:val="22"/>
          <w:szCs w:val="22"/>
        </w:rPr>
        <w:t>it more successfully’</w:t>
      </w:r>
      <w:r w:rsidRPr="000330E5">
        <w:rPr>
          <w:rFonts w:ascii="Palatino Linotype" w:hAnsi="Palatino Linotype" w:cs="Times New Roman"/>
          <w:sz w:val="22"/>
          <w:szCs w:val="22"/>
        </w:rPr>
        <w:t>.</w:t>
      </w:r>
      <w:r w:rsidR="00326E99" w:rsidRPr="000330E5">
        <w:rPr>
          <w:rStyle w:val="FootnoteReference"/>
          <w:rFonts w:ascii="Palatino Linotype" w:hAnsi="Palatino Linotype" w:cs="Times New Roman"/>
          <w:sz w:val="22"/>
          <w:szCs w:val="22"/>
        </w:rPr>
        <w:footnoteReference w:id="1"/>
      </w:r>
      <w:r w:rsidRPr="000330E5">
        <w:rPr>
          <w:rFonts w:ascii="Palatino Linotype" w:hAnsi="Palatino Linotype" w:cs="Times New Roman"/>
          <w:sz w:val="22"/>
          <w:szCs w:val="22"/>
        </w:rPr>
        <w:t xml:space="preserve"> Accordingly</w:t>
      </w:r>
      <w:r w:rsidR="00D807FD" w:rsidRPr="000330E5">
        <w:rPr>
          <w:rFonts w:ascii="Palatino Linotype" w:hAnsi="Palatino Linotype" w:cs="Times New Roman"/>
          <w:sz w:val="22"/>
          <w:szCs w:val="22"/>
        </w:rPr>
        <w:t>, it went</w:t>
      </w:r>
      <w:r w:rsidRPr="000330E5">
        <w:rPr>
          <w:rFonts w:ascii="Palatino Linotype" w:hAnsi="Palatino Linotype" w:cs="Times New Roman"/>
          <w:sz w:val="22"/>
          <w:szCs w:val="22"/>
        </w:rPr>
        <w:t xml:space="preserve"> on to emphasise the value of transitional programmes for the success of students at </w:t>
      </w:r>
      <w:r w:rsidR="00D807FD" w:rsidRPr="000330E5">
        <w:rPr>
          <w:rFonts w:ascii="Palatino Linotype" w:hAnsi="Palatino Linotype" w:cs="Times New Roman"/>
          <w:sz w:val="22"/>
          <w:szCs w:val="22"/>
        </w:rPr>
        <w:t>third level education. It stated</w:t>
      </w:r>
      <w:r w:rsidRPr="000330E5">
        <w:rPr>
          <w:rFonts w:ascii="Palatino Linotype" w:hAnsi="Palatino Linotype" w:cs="Times New Roman"/>
          <w:sz w:val="22"/>
          <w:szCs w:val="22"/>
        </w:rPr>
        <w:t xml:space="preserve">: </w:t>
      </w:r>
    </w:p>
    <w:p w14:paraId="07F07AF5" w14:textId="451CBECB" w:rsidR="00D807FD" w:rsidRPr="000330E5" w:rsidRDefault="004D7535" w:rsidP="0072005E">
      <w:pPr>
        <w:ind w:left="720"/>
        <w:jc w:val="both"/>
        <w:rPr>
          <w:rFonts w:ascii="Palatino Linotype" w:hAnsi="Palatino Linotype" w:cs="Times New Roman"/>
          <w:sz w:val="22"/>
          <w:szCs w:val="22"/>
        </w:rPr>
      </w:pPr>
      <w:r w:rsidRPr="000330E5">
        <w:rPr>
          <w:rFonts w:ascii="Palatino Linotype" w:hAnsi="Palatino Linotype" w:cs="Times New Roman"/>
          <w:sz w:val="22"/>
          <w:szCs w:val="22"/>
        </w:rPr>
        <w:t xml:space="preserve">‘a positive first-year student experience is crucial to achieving the goals of higher education; failure to address the challenges encountered by students in their first </w:t>
      </w:r>
      <w:r w:rsidRPr="000330E5">
        <w:rPr>
          <w:rFonts w:ascii="Palatino Linotype" w:hAnsi="Palatino Linotype" w:cs="Times New Roman"/>
          <w:sz w:val="22"/>
          <w:szCs w:val="22"/>
        </w:rPr>
        <w:lastRenderedPageBreak/>
        <w:t>year contributes to high drop-out and failure rates, with personal and system-wide implications’</w:t>
      </w:r>
      <w:r w:rsidR="00326E99" w:rsidRPr="000330E5">
        <w:rPr>
          <w:rStyle w:val="FootnoteReference"/>
          <w:rFonts w:ascii="Palatino Linotype" w:hAnsi="Palatino Linotype" w:cs="Times New Roman"/>
          <w:sz w:val="22"/>
          <w:szCs w:val="22"/>
        </w:rPr>
        <w:footnoteReference w:id="2"/>
      </w:r>
      <w:r w:rsidRPr="000330E5">
        <w:rPr>
          <w:rFonts w:ascii="Palatino Linotype" w:hAnsi="Palatino Linotype" w:cs="Times New Roman"/>
          <w:sz w:val="22"/>
          <w:szCs w:val="22"/>
        </w:rPr>
        <w:t xml:space="preserve">. </w:t>
      </w:r>
    </w:p>
    <w:p w14:paraId="65FF4616" w14:textId="0415B852" w:rsidR="008B5F3A" w:rsidRPr="000330E5" w:rsidRDefault="00016B47" w:rsidP="0072005E">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w:t>
      </w:r>
      <w:r w:rsidR="00D807FD" w:rsidRPr="000330E5">
        <w:rPr>
          <w:rFonts w:ascii="Palatino Linotype" w:hAnsi="Palatino Linotype" w:cs="Times New Roman"/>
          <w:sz w:val="22"/>
          <w:szCs w:val="22"/>
        </w:rPr>
        <w:t>Strategic Plan of the Faculty of Theology (</w:t>
      </w:r>
      <w:r w:rsidR="00D807FD" w:rsidRPr="000330E5">
        <w:rPr>
          <w:rFonts w:ascii="Palatino Linotype" w:hAnsi="Palatino Linotype" w:cs="Times New Roman"/>
          <w:i/>
          <w:sz w:val="22"/>
          <w:szCs w:val="22"/>
        </w:rPr>
        <w:t>Desire to Flourish</w:t>
      </w:r>
      <w:r w:rsidR="00D807FD" w:rsidRPr="000330E5">
        <w:rPr>
          <w:rFonts w:ascii="Palatino Linotype" w:hAnsi="Palatino Linotype" w:cs="Times New Roman"/>
          <w:sz w:val="22"/>
          <w:szCs w:val="22"/>
        </w:rPr>
        <w:t xml:space="preserve"> 2015-2020) commits the Faculty to en</w:t>
      </w:r>
      <w:r w:rsidR="00326E99" w:rsidRPr="000330E5">
        <w:rPr>
          <w:rFonts w:ascii="Palatino Linotype" w:hAnsi="Palatino Linotype" w:cs="Times New Roman"/>
          <w:sz w:val="22"/>
          <w:szCs w:val="22"/>
        </w:rPr>
        <w:t xml:space="preserve">hancing the student experience </w:t>
      </w:r>
      <w:r w:rsidR="00D807FD" w:rsidRPr="000330E5">
        <w:rPr>
          <w:rFonts w:ascii="Palatino Linotype" w:hAnsi="Palatino Linotype" w:cs="Times New Roman"/>
          <w:sz w:val="22"/>
          <w:szCs w:val="22"/>
        </w:rPr>
        <w:t>(Strategi</w:t>
      </w:r>
      <w:r w:rsidR="008B5F3A" w:rsidRPr="000330E5">
        <w:rPr>
          <w:rFonts w:ascii="Palatino Linotype" w:hAnsi="Palatino Linotype" w:cs="Times New Roman"/>
          <w:sz w:val="22"/>
          <w:szCs w:val="22"/>
        </w:rPr>
        <w:t>c Goal Two). Specifically, Strategic Goal 2.1 states that the Faculty will invite</w:t>
      </w:r>
    </w:p>
    <w:p w14:paraId="25A14831" w14:textId="37758FC8" w:rsidR="008B5F3A" w:rsidRPr="000330E5" w:rsidRDefault="008B5F3A" w:rsidP="0072005E">
      <w:pPr>
        <w:ind w:left="720"/>
        <w:jc w:val="both"/>
        <w:rPr>
          <w:rFonts w:ascii="Palatino Linotype" w:hAnsi="Palatino Linotype" w:cs="Times New Roman"/>
          <w:sz w:val="22"/>
          <w:szCs w:val="22"/>
        </w:rPr>
      </w:pPr>
      <w:r w:rsidRPr="000330E5">
        <w:rPr>
          <w:rFonts w:ascii="Palatino Linotype" w:hAnsi="Palatino Linotype" w:cs="Times New Roman"/>
          <w:sz w:val="22"/>
          <w:szCs w:val="22"/>
        </w:rPr>
        <w:t>students into a personable environment, equipped with appropriate resources and structures, that nurtures active and engaged learning, especially in first year.</w:t>
      </w:r>
    </w:p>
    <w:p w14:paraId="5F146C70" w14:textId="1A3835A4" w:rsidR="00326E99" w:rsidRPr="000330E5" w:rsidRDefault="00326E99" w:rsidP="0072005E">
      <w:pPr>
        <w:widowControl w:val="0"/>
        <w:autoSpaceDE w:val="0"/>
        <w:autoSpaceDN w:val="0"/>
        <w:adjustRightInd w:val="0"/>
        <w:spacing w:line="300" w:lineRule="atLeast"/>
        <w:ind w:firstLine="720"/>
        <w:jc w:val="both"/>
        <w:rPr>
          <w:rFonts w:ascii="Palatino Linotype" w:hAnsi="Palatino Linotype" w:cs="Times New Roman"/>
          <w:sz w:val="22"/>
          <w:szCs w:val="22"/>
        </w:rPr>
      </w:pPr>
      <w:r w:rsidRPr="000330E5">
        <w:rPr>
          <w:rFonts w:ascii="Palatino Linotype" w:hAnsi="Palatino Linotype" w:cs="Times New Roman"/>
          <w:sz w:val="22"/>
          <w:szCs w:val="22"/>
        </w:rPr>
        <w:t>While, a</w:t>
      </w:r>
      <w:r w:rsidR="00B97D2E">
        <w:rPr>
          <w:rFonts w:ascii="Palatino Linotype" w:hAnsi="Palatino Linotype" w:cs="Times New Roman"/>
          <w:sz w:val="22"/>
          <w:szCs w:val="22"/>
        </w:rPr>
        <w:t>ny one goal is</w:t>
      </w:r>
      <w:r w:rsidR="008B5F3A" w:rsidRPr="000330E5">
        <w:rPr>
          <w:rFonts w:ascii="Palatino Linotype" w:hAnsi="Palatino Linotype" w:cs="Times New Roman"/>
          <w:sz w:val="22"/>
          <w:szCs w:val="22"/>
        </w:rPr>
        <w:t xml:space="preserve"> linked with othe</w:t>
      </w:r>
      <w:r w:rsidRPr="000330E5">
        <w:rPr>
          <w:rFonts w:ascii="Palatino Linotype" w:hAnsi="Palatino Linotype" w:cs="Times New Roman"/>
          <w:sz w:val="22"/>
          <w:szCs w:val="22"/>
        </w:rPr>
        <w:t>r goals within the overall plan, each goal has been subdivided into a number of initiatives.</w:t>
      </w:r>
      <w:r w:rsidRPr="000330E5">
        <w:rPr>
          <w:rStyle w:val="FootnoteReference"/>
          <w:rFonts w:ascii="Palatino Linotype" w:hAnsi="Palatino Linotype" w:cs="Times New Roman"/>
          <w:sz w:val="22"/>
          <w:szCs w:val="22"/>
        </w:rPr>
        <w:footnoteReference w:id="3"/>
      </w:r>
      <w:r w:rsidRPr="000330E5">
        <w:rPr>
          <w:rFonts w:ascii="Palatino Linotype" w:hAnsi="Palatino Linotype" w:cs="Times New Roman"/>
          <w:sz w:val="22"/>
          <w:szCs w:val="22"/>
        </w:rPr>
        <w:t xml:space="preserve"> Goal 2.1.3 states: </w:t>
      </w:r>
      <w:r w:rsidR="00E751EF">
        <w:rPr>
          <w:rFonts w:ascii="Palatino Linotype" w:hAnsi="Palatino Linotype" w:cs="Times New Roman"/>
          <w:sz w:val="22"/>
          <w:szCs w:val="22"/>
        </w:rPr>
        <w:t>“</w:t>
      </w:r>
      <w:r w:rsidRPr="000330E5">
        <w:rPr>
          <w:rFonts w:ascii="Palatino Linotype" w:hAnsi="Palatino Linotype" w:cs="Times New Roman"/>
          <w:sz w:val="22"/>
          <w:szCs w:val="22"/>
        </w:rPr>
        <w:t>Draft a ‘Success and Retention Policy’ and implement its recommendations.</w:t>
      </w:r>
      <w:r w:rsidR="00E751EF">
        <w:rPr>
          <w:rFonts w:ascii="Palatino Linotype" w:hAnsi="Palatino Linotype" w:cs="Times New Roman"/>
          <w:sz w:val="22"/>
          <w:szCs w:val="22"/>
        </w:rPr>
        <w:t>”</w:t>
      </w:r>
      <w:r w:rsidRPr="000330E5">
        <w:rPr>
          <w:rStyle w:val="FootnoteReference"/>
          <w:rFonts w:ascii="Palatino Linotype" w:hAnsi="Palatino Linotype" w:cs="Times New Roman"/>
          <w:sz w:val="22"/>
          <w:szCs w:val="22"/>
        </w:rPr>
        <w:footnoteReference w:id="4"/>
      </w:r>
    </w:p>
    <w:p w14:paraId="0C6B6FA9" w14:textId="65EAFD85" w:rsidR="00326E99" w:rsidRPr="000330E5" w:rsidRDefault="00016B47" w:rsidP="0071220C">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T</w:t>
      </w:r>
      <w:r w:rsidR="008B5F3A" w:rsidRPr="000330E5">
        <w:rPr>
          <w:rFonts w:ascii="Palatino Linotype" w:hAnsi="Palatino Linotype" w:cs="Times New Roman"/>
          <w:sz w:val="22"/>
          <w:szCs w:val="22"/>
        </w:rPr>
        <w:t xml:space="preserve">his </w:t>
      </w:r>
      <w:r w:rsidR="00326E99" w:rsidRPr="000330E5">
        <w:rPr>
          <w:rFonts w:ascii="Palatino Linotype" w:hAnsi="Palatino Linotype" w:cs="Times New Roman"/>
          <w:sz w:val="22"/>
          <w:szCs w:val="22"/>
        </w:rPr>
        <w:t xml:space="preserve">discussion document </w:t>
      </w:r>
      <w:r w:rsidR="008B5F3A" w:rsidRPr="000330E5">
        <w:rPr>
          <w:rFonts w:ascii="Palatino Linotype" w:hAnsi="Palatino Linotype" w:cs="Times New Roman"/>
          <w:sz w:val="22"/>
          <w:szCs w:val="22"/>
        </w:rPr>
        <w:t xml:space="preserve">is </w:t>
      </w:r>
      <w:r w:rsidR="00326E99" w:rsidRPr="000330E5">
        <w:rPr>
          <w:rFonts w:ascii="Palatino Linotype" w:hAnsi="Palatino Linotype" w:cs="Times New Roman"/>
          <w:sz w:val="22"/>
          <w:szCs w:val="22"/>
        </w:rPr>
        <w:t xml:space="preserve">drafted by the Undergraduate Board in order to </w:t>
      </w:r>
      <w:r w:rsidR="008B5F3A" w:rsidRPr="000330E5">
        <w:rPr>
          <w:rFonts w:ascii="Palatino Linotype" w:hAnsi="Palatino Linotype" w:cs="Times New Roman"/>
          <w:sz w:val="22"/>
          <w:szCs w:val="22"/>
        </w:rPr>
        <w:t>understand and therefore address the issues affecting the success and retention of students in their first year at St Patrick’s College, Maynooth.</w:t>
      </w:r>
    </w:p>
    <w:p w14:paraId="6AF10D3A" w14:textId="77777777" w:rsidR="0089219E" w:rsidRPr="000330E5" w:rsidRDefault="0089219E" w:rsidP="0072005E">
      <w:pPr>
        <w:jc w:val="both"/>
        <w:rPr>
          <w:rFonts w:ascii="Palatino Linotype" w:hAnsi="Palatino Linotype" w:cs="Times New Roman"/>
          <w:sz w:val="22"/>
          <w:szCs w:val="22"/>
        </w:rPr>
      </w:pPr>
    </w:p>
    <w:p w14:paraId="3C956BB2" w14:textId="4655B18D" w:rsidR="0089219E" w:rsidRPr="0071220C" w:rsidRDefault="0071220C" w:rsidP="0071220C">
      <w:pPr>
        <w:pStyle w:val="ListParagraph"/>
        <w:numPr>
          <w:ilvl w:val="0"/>
          <w:numId w:val="26"/>
        </w:numPr>
        <w:jc w:val="both"/>
        <w:rPr>
          <w:rFonts w:ascii="Palatino Linotype" w:hAnsi="Palatino Linotype" w:cs="Times New Roman"/>
          <w:i/>
          <w:sz w:val="22"/>
          <w:szCs w:val="22"/>
        </w:rPr>
      </w:pPr>
      <w:r w:rsidRPr="0071220C">
        <w:rPr>
          <w:rFonts w:ascii="Palatino Linotype" w:hAnsi="Palatino Linotype" w:cs="Times New Roman"/>
          <w:i/>
          <w:sz w:val="22"/>
          <w:szCs w:val="22"/>
        </w:rPr>
        <w:t xml:space="preserve">Overview: </w:t>
      </w:r>
      <w:r w:rsidR="0089219E" w:rsidRPr="0071220C">
        <w:rPr>
          <w:rFonts w:ascii="Palatino Linotype" w:hAnsi="Palatino Linotype" w:cs="Times New Roman"/>
          <w:i/>
          <w:sz w:val="22"/>
          <w:szCs w:val="22"/>
        </w:rPr>
        <w:t xml:space="preserve">Statistics  </w:t>
      </w:r>
    </w:p>
    <w:p w14:paraId="091F8924" w14:textId="2EED02D6" w:rsidR="00271D69" w:rsidRPr="000330E5" w:rsidRDefault="00271D69" w:rsidP="0072005E">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Irish Higher Education Sector </w:t>
      </w:r>
    </w:p>
    <w:p w14:paraId="4B4E5CA0" w14:textId="79CCFEC5" w:rsidR="000B18A9" w:rsidRPr="000330E5" w:rsidRDefault="000B6AAC" w:rsidP="0072005E">
      <w:pPr>
        <w:jc w:val="both"/>
        <w:rPr>
          <w:rFonts w:ascii="Palatino Linotype" w:hAnsi="Palatino Linotype" w:cs="Times New Roman"/>
          <w:sz w:val="22"/>
          <w:szCs w:val="22"/>
        </w:rPr>
      </w:pPr>
      <w:r>
        <w:rPr>
          <w:rFonts w:ascii="Palatino Linotype" w:hAnsi="Palatino Linotype" w:cs="Times New Roman"/>
          <w:sz w:val="22"/>
          <w:szCs w:val="22"/>
        </w:rPr>
        <w:t>A recent</w:t>
      </w:r>
      <w:r w:rsidR="001009A2" w:rsidRPr="000330E5">
        <w:rPr>
          <w:rFonts w:ascii="Palatino Linotype" w:hAnsi="Palatino Linotype" w:cs="Times New Roman"/>
          <w:sz w:val="22"/>
          <w:szCs w:val="22"/>
        </w:rPr>
        <w:t xml:space="preserve"> study from the HEA</w:t>
      </w:r>
      <w:r w:rsidR="000B18A9" w:rsidRPr="000330E5">
        <w:rPr>
          <w:rFonts w:ascii="Palatino Linotype" w:hAnsi="Palatino Linotype" w:cs="Times New Roman"/>
          <w:sz w:val="22"/>
          <w:szCs w:val="22"/>
        </w:rPr>
        <w:t xml:space="preserve"> reports on the progression of students from their first year of study in 2012/13 to their second year of study in 2013/14.</w:t>
      </w:r>
      <w:r w:rsidR="001009A2" w:rsidRPr="000330E5">
        <w:rPr>
          <w:rStyle w:val="FootnoteReference"/>
          <w:rFonts w:ascii="Palatino Linotype" w:hAnsi="Palatino Linotype" w:cs="Times New Roman"/>
          <w:sz w:val="22"/>
          <w:szCs w:val="22"/>
        </w:rPr>
        <w:footnoteReference w:id="5"/>
      </w:r>
    </w:p>
    <w:p w14:paraId="18444A15" w14:textId="45BFBC38" w:rsidR="000B18A9" w:rsidRPr="000330E5" w:rsidRDefault="000B18A9" w:rsidP="0072005E">
      <w:pPr>
        <w:pStyle w:val="ListParagraph"/>
        <w:numPr>
          <w:ilvl w:val="0"/>
          <w:numId w:val="18"/>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headline figures records that 84% of full-time undergraduate new entrants </w:t>
      </w:r>
      <w:r w:rsidR="001009A2" w:rsidRPr="000330E5">
        <w:rPr>
          <w:rFonts w:ascii="Palatino Linotype" w:hAnsi="Palatino Linotype" w:cs="Times New Roman"/>
          <w:sz w:val="22"/>
          <w:szCs w:val="22"/>
        </w:rPr>
        <w:t xml:space="preserve">progressed. </w:t>
      </w:r>
      <w:r w:rsidRPr="000330E5">
        <w:rPr>
          <w:rFonts w:ascii="Palatino Linotype" w:hAnsi="Palatino Linotype" w:cs="Times New Roman"/>
          <w:sz w:val="22"/>
          <w:szCs w:val="22"/>
        </w:rPr>
        <w:t>Correspondingly, 16% did not progress.  T</w:t>
      </w:r>
      <w:r w:rsidR="00F22A85" w:rsidRPr="000330E5">
        <w:rPr>
          <w:rFonts w:ascii="Palatino Linotype" w:hAnsi="Palatino Linotype" w:cs="Times New Roman"/>
          <w:sz w:val="22"/>
          <w:szCs w:val="22"/>
        </w:rPr>
        <w:t>his figure</w:t>
      </w:r>
      <w:r w:rsidRPr="000330E5">
        <w:rPr>
          <w:rFonts w:ascii="Palatino Linotype" w:hAnsi="Palatino Linotype" w:cs="Times New Roman"/>
          <w:sz w:val="22"/>
          <w:szCs w:val="22"/>
        </w:rPr>
        <w:t xml:space="preserve"> equates to 6,000 students across the sector. </w:t>
      </w:r>
    </w:p>
    <w:p w14:paraId="0EDAC6F2" w14:textId="77777777" w:rsidR="000B18A9" w:rsidRPr="000330E5" w:rsidRDefault="000B18A9" w:rsidP="0072005E">
      <w:pPr>
        <w:pStyle w:val="ListParagraph"/>
        <w:numPr>
          <w:ilvl w:val="0"/>
          <w:numId w:val="18"/>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It reports that this compares favourably to international peers and has remained stable since 2007/08.   </w:t>
      </w:r>
    </w:p>
    <w:p w14:paraId="7A0EF80B" w14:textId="7BC27B8A" w:rsidR="000B18A9" w:rsidRPr="000330E5" w:rsidRDefault="00BD0439" w:rsidP="0072005E">
      <w:pPr>
        <w:pStyle w:val="ListParagraph"/>
        <w:numPr>
          <w:ilvl w:val="0"/>
          <w:numId w:val="18"/>
        </w:numPr>
        <w:jc w:val="both"/>
        <w:rPr>
          <w:rFonts w:ascii="Palatino Linotype" w:hAnsi="Palatino Linotype" w:cs="Times New Roman"/>
          <w:sz w:val="22"/>
          <w:szCs w:val="22"/>
        </w:rPr>
      </w:pPr>
      <w:r>
        <w:rPr>
          <w:rFonts w:ascii="Palatino Linotype" w:hAnsi="Palatino Linotype" w:cs="Times New Roman"/>
          <w:sz w:val="22"/>
          <w:szCs w:val="22"/>
        </w:rPr>
        <w:t>Non-</w:t>
      </w:r>
      <w:r w:rsidR="000B18A9" w:rsidRPr="000330E5">
        <w:rPr>
          <w:rFonts w:ascii="Palatino Linotype" w:hAnsi="Palatino Linotype" w:cs="Times New Roman"/>
          <w:sz w:val="22"/>
          <w:szCs w:val="22"/>
        </w:rPr>
        <w:t>Progression rates varied across the sector ranging from 26% and 28% at level 6 and 7 respectively compared to 11%, 17% and 6% at level 8 in universities, institutes of technology and colleges respectively.</w:t>
      </w:r>
      <w:r w:rsidR="000B18A9" w:rsidRPr="000330E5">
        <w:rPr>
          <w:rStyle w:val="FootnoteReference"/>
          <w:rFonts w:ascii="Palatino Linotype" w:hAnsi="Palatino Linotype" w:cs="Times New Roman"/>
          <w:sz w:val="22"/>
          <w:szCs w:val="22"/>
        </w:rPr>
        <w:footnoteReference w:id="6"/>
      </w:r>
    </w:p>
    <w:p w14:paraId="2B4EBECD" w14:textId="448EB659" w:rsidR="000B18A9" w:rsidRPr="000330E5" w:rsidRDefault="001A18C7" w:rsidP="0072005E">
      <w:pPr>
        <w:pStyle w:val="ListParagraph"/>
        <w:numPr>
          <w:ilvl w:val="0"/>
          <w:numId w:val="18"/>
        </w:numPr>
        <w:jc w:val="both"/>
        <w:rPr>
          <w:rFonts w:ascii="Palatino Linotype" w:hAnsi="Palatino Linotype" w:cs="Times New Roman"/>
          <w:sz w:val="22"/>
          <w:szCs w:val="22"/>
        </w:rPr>
      </w:pPr>
      <w:r w:rsidRPr="000330E5">
        <w:rPr>
          <w:rFonts w:ascii="Palatino Linotype" w:hAnsi="Palatino Linotype" w:cs="Times New Roman"/>
          <w:sz w:val="22"/>
          <w:szCs w:val="22"/>
        </w:rPr>
        <w:t>F</w:t>
      </w:r>
      <w:r w:rsidR="000B18A9" w:rsidRPr="000330E5">
        <w:rPr>
          <w:rFonts w:ascii="Palatino Linotype" w:hAnsi="Palatino Linotype" w:cs="Times New Roman"/>
          <w:sz w:val="22"/>
          <w:szCs w:val="22"/>
        </w:rPr>
        <w:t xml:space="preserve">emales have higher rates of progression than males across all levels and sectors. </w:t>
      </w:r>
    </w:p>
    <w:p w14:paraId="06FA7B3E" w14:textId="77777777" w:rsidR="000B18A9" w:rsidRPr="000330E5" w:rsidRDefault="000B18A9" w:rsidP="0072005E">
      <w:pPr>
        <w:pStyle w:val="ListParagraph"/>
        <w:numPr>
          <w:ilvl w:val="0"/>
          <w:numId w:val="18"/>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There is a significant relationship between prior educational attainment (based on Leaving Certificate points) and progression rates. Keeping in mind the average non-progression rate is 16%, the rate for students who obtained 255 to 300 rises to 34% and falls to only 7% for students who obtained 555 to 600 points.  </w:t>
      </w:r>
    </w:p>
    <w:p w14:paraId="5256B8E9" w14:textId="7FEF3F0D" w:rsidR="000B18A9" w:rsidRPr="000330E5" w:rsidRDefault="000B18A9" w:rsidP="0072005E">
      <w:pPr>
        <w:jc w:val="both"/>
        <w:rPr>
          <w:rFonts w:ascii="Palatino Linotype" w:hAnsi="Palatino Linotype" w:cs="Times New Roman"/>
          <w:sz w:val="22"/>
          <w:szCs w:val="22"/>
        </w:rPr>
      </w:pPr>
      <w:r w:rsidRPr="000330E5">
        <w:rPr>
          <w:rFonts w:ascii="Palatino Linotype" w:hAnsi="Palatino Linotype" w:cs="Times New Roman"/>
          <w:sz w:val="22"/>
          <w:szCs w:val="22"/>
        </w:rPr>
        <w:t>While urging “a strong focus on the transition from school to college,” Mr Tom Boland, the then CEO of the HEA commented that the figures are a “a source of concern. Further research into the issues surrounding student retention is necessary so that by understanding the causes we can deal with them. Issues of particular interest include the connection between academic preparedness of students and student engagement with college.”</w:t>
      </w:r>
      <w:r w:rsidRPr="000330E5">
        <w:rPr>
          <w:rStyle w:val="FootnoteReference"/>
          <w:rFonts w:ascii="Palatino Linotype" w:hAnsi="Palatino Linotype" w:cs="Times New Roman"/>
          <w:sz w:val="22"/>
          <w:szCs w:val="22"/>
        </w:rPr>
        <w:footnoteReference w:id="7"/>
      </w:r>
    </w:p>
    <w:p w14:paraId="1C1E1EC1" w14:textId="77777777" w:rsidR="00425215" w:rsidRPr="000330E5" w:rsidRDefault="00425215" w:rsidP="0072005E">
      <w:pPr>
        <w:jc w:val="both"/>
        <w:rPr>
          <w:rFonts w:ascii="Palatino Linotype" w:hAnsi="Palatino Linotype" w:cs="Times New Roman"/>
          <w:sz w:val="22"/>
          <w:szCs w:val="22"/>
        </w:rPr>
      </w:pPr>
    </w:p>
    <w:p w14:paraId="47792648" w14:textId="77777777" w:rsidR="00271D69" w:rsidRPr="000330E5" w:rsidRDefault="00271D69" w:rsidP="00271D69">
      <w:pPr>
        <w:jc w:val="both"/>
        <w:rPr>
          <w:rFonts w:ascii="Palatino Linotype" w:hAnsi="Palatino Linotype" w:cs="Times New Roman"/>
          <w:sz w:val="22"/>
          <w:szCs w:val="22"/>
        </w:rPr>
      </w:pPr>
      <w:r w:rsidRPr="000330E5">
        <w:rPr>
          <w:rFonts w:ascii="Palatino Linotype" w:hAnsi="Palatino Linotype" w:cs="Times New Roman"/>
          <w:sz w:val="22"/>
          <w:szCs w:val="22"/>
        </w:rPr>
        <w:t>The Faculty of Theology at St Patricks College, Maynooth</w:t>
      </w:r>
    </w:p>
    <w:p w14:paraId="32D9079F" w14:textId="77777777" w:rsidR="00911930" w:rsidRPr="000330E5" w:rsidRDefault="00911930" w:rsidP="00911930">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Student retention is an important task and indicator for a small institution as St Patrick’s College, Maynooth.</w:t>
      </w:r>
    </w:p>
    <w:p w14:paraId="3A346BF5" w14:textId="4C2DB23A" w:rsidR="00765264" w:rsidRDefault="008E3BF1" w:rsidP="00911930">
      <w:pPr>
        <w:ind w:firstLine="720"/>
        <w:jc w:val="both"/>
        <w:rPr>
          <w:rFonts w:ascii="Palatino Linotype" w:hAnsi="Palatino Linotype" w:cs="Times New Roman"/>
          <w:sz w:val="22"/>
          <w:szCs w:val="22"/>
        </w:rPr>
      </w:pPr>
      <w:r>
        <w:rPr>
          <w:rFonts w:ascii="Palatino Linotype" w:hAnsi="Palatino Linotype" w:cs="Times New Roman"/>
          <w:sz w:val="22"/>
          <w:szCs w:val="22"/>
        </w:rPr>
        <w:t>Of the suite of undergraduate programmes, Bachelor of Theology a</w:t>
      </w:r>
      <w:r w:rsidR="00052B78">
        <w:rPr>
          <w:rFonts w:ascii="Palatino Linotype" w:hAnsi="Palatino Linotype" w:cs="Times New Roman"/>
          <w:sz w:val="22"/>
          <w:szCs w:val="22"/>
        </w:rPr>
        <w:t xml:space="preserve">nd Arts is of strategic concern. </w:t>
      </w:r>
      <w:r>
        <w:rPr>
          <w:rFonts w:ascii="Palatino Linotype" w:hAnsi="Palatino Linotype" w:cs="Times New Roman"/>
          <w:sz w:val="22"/>
          <w:szCs w:val="22"/>
        </w:rPr>
        <w:t xml:space="preserve">Figures for the Academic Years 2012-2013 to 2015-2016 are available in Appendix A. </w:t>
      </w:r>
    </w:p>
    <w:p w14:paraId="2B7A1A5D" w14:textId="4EAF57CA" w:rsidR="0064005B" w:rsidRDefault="00765264" w:rsidP="00271D69">
      <w:pPr>
        <w:ind w:firstLine="720"/>
        <w:jc w:val="both"/>
        <w:rPr>
          <w:rFonts w:ascii="Palatino Linotype" w:hAnsi="Palatino Linotype" w:cs="Times New Roman"/>
          <w:sz w:val="22"/>
          <w:szCs w:val="22"/>
        </w:rPr>
      </w:pPr>
      <w:r>
        <w:rPr>
          <w:rFonts w:ascii="Palatino Linotype" w:hAnsi="Palatino Linotype" w:cs="Times New Roman"/>
          <w:sz w:val="22"/>
          <w:szCs w:val="22"/>
        </w:rPr>
        <w:t xml:space="preserve">The topline figures appear to show an improving trend in that time. </w:t>
      </w:r>
      <w:r w:rsidR="00AE6636">
        <w:rPr>
          <w:rFonts w:ascii="Palatino Linotype" w:hAnsi="Palatino Linotype" w:cs="Times New Roman"/>
          <w:sz w:val="22"/>
          <w:szCs w:val="22"/>
        </w:rPr>
        <w:t>Taking the figures as a whole</w:t>
      </w:r>
    </w:p>
    <w:p w14:paraId="37C7CEE7" w14:textId="77777777" w:rsidR="007A47A2" w:rsidRDefault="007A47A2" w:rsidP="00271D69">
      <w:pPr>
        <w:ind w:firstLine="720"/>
        <w:jc w:val="both"/>
        <w:rPr>
          <w:rFonts w:ascii="Palatino Linotype" w:hAnsi="Palatino Linotype" w:cs="Times New Roman"/>
          <w:sz w:val="22"/>
          <w:szCs w:val="22"/>
        </w:rPr>
      </w:pPr>
    </w:p>
    <w:tbl>
      <w:tblPr>
        <w:tblStyle w:val="TableGrid"/>
        <w:tblW w:w="0" w:type="auto"/>
        <w:jc w:val="center"/>
        <w:tblLook w:val="04A0" w:firstRow="1" w:lastRow="0" w:firstColumn="1" w:lastColumn="0" w:noHBand="0" w:noVBand="1"/>
      </w:tblPr>
      <w:tblGrid>
        <w:gridCol w:w="1714"/>
        <w:gridCol w:w="2919"/>
        <w:gridCol w:w="1304"/>
      </w:tblGrid>
      <w:tr w:rsidR="0064005B" w14:paraId="7D357996" w14:textId="77777777" w:rsidTr="007A47A2">
        <w:trPr>
          <w:jc w:val="center"/>
        </w:trPr>
        <w:tc>
          <w:tcPr>
            <w:tcW w:w="0" w:type="auto"/>
          </w:tcPr>
          <w:p w14:paraId="140E8C03" w14:textId="4B753D33" w:rsidR="0064005B" w:rsidRPr="007A47A2" w:rsidRDefault="0064005B" w:rsidP="007A47A2">
            <w:pPr>
              <w:jc w:val="center"/>
              <w:rPr>
                <w:rFonts w:ascii="Palatino Linotype" w:hAnsi="Palatino Linotype" w:cs="Times New Roman"/>
                <w:b/>
                <w:sz w:val="22"/>
                <w:szCs w:val="22"/>
              </w:rPr>
            </w:pPr>
            <w:r w:rsidRPr="007A47A2">
              <w:rPr>
                <w:rFonts w:ascii="Palatino Linotype" w:hAnsi="Palatino Linotype" w:cs="Times New Roman"/>
                <w:b/>
                <w:sz w:val="22"/>
                <w:szCs w:val="22"/>
              </w:rPr>
              <w:t>Academic Year</w:t>
            </w:r>
          </w:p>
        </w:tc>
        <w:tc>
          <w:tcPr>
            <w:tcW w:w="0" w:type="auto"/>
          </w:tcPr>
          <w:p w14:paraId="0D1E147A" w14:textId="27D1FF0C" w:rsidR="0064005B" w:rsidRPr="007A47A2" w:rsidRDefault="0064005B" w:rsidP="007A47A2">
            <w:pPr>
              <w:jc w:val="center"/>
              <w:rPr>
                <w:rFonts w:ascii="Palatino Linotype" w:hAnsi="Palatino Linotype" w:cs="Times New Roman"/>
                <w:b/>
                <w:sz w:val="22"/>
                <w:szCs w:val="22"/>
              </w:rPr>
            </w:pPr>
            <w:r w:rsidRPr="007A47A2">
              <w:rPr>
                <w:rFonts w:ascii="Palatino Linotype" w:hAnsi="Palatino Linotype" w:cs="Times New Roman"/>
                <w:b/>
                <w:sz w:val="22"/>
                <w:szCs w:val="22"/>
              </w:rPr>
              <w:t>Numbers (2</w:t>
            </w:r>
            <w:r w:rsidRPr="007A47A2">
              <w:rPr>
                <w:rFonts w:ascii="Palatino Linotype" w:hAnsi="Palatino Linotype" w:cs="Times New Roman"/>
                <w:b/>
                <w:sz w:val="22"/>
                <w:szCs w:val="22"/>
                <w:vertAlign w:val="superscript"/>
              </w:rPr>
              <w:t>nd</w:t>
            </w:r>
            <w:r w:rsidRPr="007A47A2">
              <w:rPr>
                <w:rFonts w:ascii="Palatino Linotype" w:hAnsi="Palatino Linotype" w:cs="Times New Roman"/>
                <w:b/>
                <w:sz w:val="22"/>
                <w:szCs w:val="22"/>
              </w:rPr>
              <w:t xml:space="preserve"> Year/1</w:t>
            </w:r>
            <w:r w:rsidRPr="007A47A2">
              <w:rPr>
                <w:rFonts w:ascii="Palatino Linotype" w:hAnsi="Palatino Linotype" w:cs="Times New Roman"/>
                <w:b/>
                <w:sz w:val="22"/>
                <w:szCs w:val="22"/>
                <w:vertAlign w:val="superscript"/>
              </w:rPr>
              <w:t>st</w:t>
            </w:r>
            <w:r w:rsidRPr="007A47A2">
              <w:rPr>
                <w:rFonts w:ascii="Palatino Linotype" w:hAnsi="Palatino Linotype" w:cs="Times New Roman"/>
                <w:b/>
                <w:sz w:val="22"/>
                <w:szCs w:val="22"/>
              </w:rPr>
              <w:t xml:space="preserve"> Year)</w:t>
            </w:r>
          </w:p>
        </w:tc>
        <w:tc>
          <w:tcPr>
            <w:tcW w:w="0" w:type="auto"/>
          </w:tcPr>
          <w:p w14:paraId="56044770" w14:textId="6BB9B706" w:rsidR="0064005B" w:rsidRPr="007A47A2" w:rsidRDefault="0064005B" w:rsidP="007A47A2">
            <w:pPr>
              <w:jc w:val="center"/>
              <w:rPr>
                <w:rFonts w:ascii="Palatino Linotype" w:hAnsi="Palatino Linotype" w:cs="Times New Roman"/>
                <w:b/>
                <w:sz w:val="22"/>
                <w:szCs w:val="22"/>
              </w:rPr>
            </w:pPr>
            <w:r w:rsidRPr="007A47A2">
              <w:rPr>
                <w:rFonts w:ascii="Palatino Linotype" w:hAnsi="Palatino Linotype" w:cs="Times New Roman"/>
                <w:b/>
                <w:sz w:val="22"/>
                <w:szCs w:val="22"/>
              </w:rPr>
              <w:t>Percentage</w:t>
            </w:r>
          </w:p>
        </w:tc>
      </w:tr>
      <w:tr w:rsidR="0064005B" w14:paraId="0DD1E737" w14:textId="77777777" w:rsidTr="007A47A2">
        <w:trPr>
          <w:jc w:val="center"/>
        </w:trPr>
        <w:tc>
          <w:tcPr>
            <w:tcW w:w="0" w:type="auto"/>
          </w:tcPr>
          <w:p w14:paraId="078670E6" w14:textId="1A824CCE"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2013/14</w:t>
            </w:r>
          </w:p>
        </w:tc>
        <w:tc>
          <w:tcPr>
            <w:tcW w:w="0" w:type="auto"/>
          </w:tcPr>
          <w:p w14:paraId="4BA5CF57" w14:textId="45BA05E1"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32/58</w:t>
            </w:r>
          </w:p>
        </w:tc>
        <w:tc>
          <w:tcPr>
            <w:tcW w:w="0" w:type="auto"/>
          </w:tcPr>
          <w:p w14:paraId="331027C1" w14:textId="0DA85FD4"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55%</w:t>
            </w:r>
          </w:p>
        </w:tc>
      </w:tr>
      <w:tr w:rsidR="0064005B" w14:paraId="7B7ED3EE" w14:textId="77777777" w:rsidTr="007A47A2">
        <w:trPr>
          <w:jc w:val="center"/>
        </w:trPr>
        <w:tc>
          <w:tcPr>
            <w:tcW w:w="0" w:type="auto"/>
          </w:tcPr>
          <w:p w14:paraId="489FE320" w14:textId="2D3BF784"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2014/15</w:t>
            </w:r>
          </w:p>
        </w:tc>
        <w:tc>
          <w:tcPr>
            <w:tcW w:w="0" w:type="auto"/>
          </w:tcPr>
          <w:p w14:paraId="38D91AAB" w14:textId="1C09B57D"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40/43</w:t>
            </w:r>
          </w:p>
        </w:tc>
        <w:tc>
          <w:tcPr>
            <w:tcW w:w="0" w:type="auto"/>
          </w:tcPr>
          <w:p w14:paraId="7BE0D601" w14:textId="208FA55C"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93%</w:t>
            </w:r>
          </w:p>
        </w:tc>
      </w:tr>
      <w:tr w:rsidR="0064005B" w14:paraId="259B3641" w14:textId="77777777" w:rsidTr="007A47A2">
        <w:trPr>
          <w:jc w:val="center"/>
        </w:trPr>
        <w:tc>
          <w:tcPr>
            <w:tcW w:w="0" w:type="auto"/>
          </w:tcPr>
          <w:p w14:paraId="4B953D22" w14:textId="003A69BA"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2015/16</w:t>
            </w:r>
          </w:p>
        </w:tc>
        <w:tc>
          <w:tcPr>
            <w:tcW w:w="0" w:type="auto"/>
          </w:tcPr>
          <w:p w14:paraId="37571BF1" w14:textId="2AE89EA6"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41/44</w:t>
            </w:r>
          </w:p>
        </w:tc>
        <w:tc>
          <w:tcPr>
            <w:tcW w:w="0" w:type="auto"/>
          </w:tcPr>
          <w:p w14:paraId="23D7B72E" w14:textId="67A3E229" w:rsidR="0064005B" w:rsidRDefault="0064005B" w:rsidP="007A47A2">
            <w:pPr>
              <w:jc w:val="center"/>
              <w:rPr>
                <w:rFonts w:ascii="Palatino Linotype" w:hAnsi="Palatino Linotype" w:cs="Times New Roman"/>
                <w:sz w:val="22"/>
                <w:szCs w:val="22"/>
              </w:rPr>
            </w:pPr>
            <w:r>
              <w:rPr>
                <w:rFonts w:ascii="Palatino Linotype" w:hAnsi="Palatino Linotype" w:cs="Times New Roman"/>
                <w:sz w:val="22"/>
                <w:szCs w:val="22"/>
              </w:rPr>
              <w:t>93%</w:t>
            </w:r>
          </w:p>
        </w:tc>
      </w:tr>
    </w:tbl>
    <w:p w14:paraId="152828EC" w14:textId="77777777" w:rsidR="0064005B" w:rsidRDefault="0064005B" w:rsidP="00271D69">
      <w:pPr>
        <w:ind w:firstLine="720"/>
        <w:jc w:val="both"/>
        <w:rPr>
          <w:rFonts w:ascii="Palatino Linotype" w:hAnsi="Palatino Linotype" w:cs="Times New Roman"/>
          <w:sz w:val="22"/>
          <w:szCs w:val="22"/>
        </w:rPr>
      </w:pPr>
    </w:p>
    <w:p w14:paraId="3861F8FE" w14:textId="5E6B6E95" w:rsidR="00AE6636" w:rsidRDefault="00AE6636" w:rsidP="00271D69">
      <w:pPr>
        <w:ind w:firstLine="720"/>
        <w:jc w:val="both"/>
        <w:rPr>
          <w:rFonts w:ascii="Palatino Linotype" w:hAnsi="Palatino Linotype" w:cs="Times New Roman"/>
          <w:sz w:val="22"/>
          <w:szCs w:val="22"/>
        </w:rPr>
      </w:pPr>
      <w:r>
        <w:rPr>
          <w:rFonts w:ascii="Palatino Linotype" w:hAnsi="Palatino Linotype" w:cs="Times New Roman"/>
          <w:sz w:val="22"/>
          <w:szCs w:val="22"/>
        </w:rPr>
        <w:t xml:space="preserve">However, there those figures need further nuance. </w:t>
      </w:r>
      <w:r w:rsidR="0064005B">
        <w:rPr>
          <w:rFonts w:ascii="Palatino Linotype" w:hAnsi="Palatino Linotype" w:cs="Times New Roman"/>
          <w:sz w:val="22"/>
          <w:szCs w:val="22"/>
        </w:rPr>
        <w:t>O</w:t>
      </w:r>
      <w:r>
        <w:rPr>
          <w:rFonts w:ascii="Palatino Linotype" w:hAnsi="Palatino Linotype" w:cs="Times New Roman"/>
          <w:sz w:val="22"/>
          <w:szCs w:val="22"/>
        </w:rPr>
        <w:t xml:space="preserve">f particular note, is the retention of students who begin the programme on campus. If we bracket out students who transferred from All Hallows College and the Kilkenny Campus along with returning and repeating students, the </w:t>
      </w:r>
      <w:r w:rsidR="000B56F2">
        <w:rPr>
          <w:rFonts w:ascii="Palatino Linotype" w:hAnsi="Palatino Linotype" w:cs="Times New Roman"/>
          <w:sz w:val="22"/>
          <w:szCs w:val="22"/>
        </w:rPr>
        <w:t xml:space="preserve">Progression Rate </w:t>
      </w:r>
      <w:r>
        <w:rPr>
          <w:rFonts w:ascii="Palatino Linotype" w:hAnsi="Palatino Linotype" w:cs="Times New Roman"/>
          <w:sz w:val="22"/>
          <w:szCs w:val="22"/>
        </w:rPr>
        <w:t xml:space="preserve">figures are: </w:t>
      </w:r>
    </w:p>
    <w:p w14:paraId="2193B068" w14:textId="77777777" w:rsidR="007A47A2" w:rsidRDefault="007A47A2" w:rsidP="00271D69">
      <w:pPr>
        <w:ind w:firstLine="720"/>
        <w:jc w:val="both"/>
        <w:rPr>
          <w:rFonts w:ascii="Palatino Linotype" w:hAnsi="Palatino Linotype" w:cs="Times New Roman"/>
          <w:sz w:val="22"/>
          <w:szCs w:val="22"/>
        </w:rPr>
      </w:pPr>
    </w:p>
    <w:tbl>
      <w:tblPr>
        <w:tblStyle w:val="TableGrid"/>
        <w:tblW w:w="0" w:type="auto"/>
        <w:jc w:val="center"/>
        <w:tblLook w:val="04A0" w:firstRow="1" w:lastRow="0" w:firstColumn="1" w:lastColumn="0" w:noHBand="0" w:noVBand="1"/>
      </w:tblPr>
      <w:tblGrid>
        <w:gridCol w:w="1714"/>
        <w:gridCol w:w="2919"/>
        <w:gridCol w:w="2422"/>
      </w:tblGrid>
      <w:tr w:rsidR="007A47A2" w14:paraId="789BC28C" w14:textId="77777777" w:rsidTr="001B2F77">
        <w:trPr>
          <w:jc w:val="center"/>
        </w:trPr>
        <w:tc>
          <w:tcPr>
            <w:tcW w:w="0" w:type="auto"/>
          </w:tcPr>
          <w:p w14:paraId="2598EDA2" w14:textId="77777777" w:rsidR="007A47A2" w:rsidRPr="007A47A2" w:rsidRDefault="007A47A2" w:rsidP="001B2F77">
            <w:pPr>
              <w:jc w:val="center"/>
              <w:rPr>
                <w:rFonts w:ascii="Palatino Linotype" w:hAnsi="Palatino Linotype" w:cs="Times New Roman"/>
                <w:b/>
                <w:sz w:val="22"/>
                <w:szCs w:val="22"/>
              </w:rPr>
            </w:pPr>
            <w:r w:rsidRPr="007A47A2">
              <w:rPr>
                <w:rFonts w:ascii="Palatino Linotype" w:hAnsi="Palatino Linotype" w:cs="Times New Roman"/>
                <w:b/>
                <w:sz w:val="22"/>
                <w:szCs w:val="22"/>
              </w:rPr>
              <w:t>Academic Year</w:t>
            </w:r>
          </w:p>
        </w:tc>
        <w:tc>
          <w:tcPr>
            <w:tcW w:w="0" w:type="auto"/>
          </w:tcPr>
          <w:p w14:paraId="76E12B9A" w14:textId="77777777" w:rsidR="007A47A2" w:rsidRPr="007A47A2" w:rsidRDefault="007A47A2" w:rsidP="001B2F77">
            <w:pPr>
              <w:jc w:val="center"/>
              <w:rPr>
                <w:rFonts w:ascii="Palatino Linotype" w:hAnsi="Palatino Linotype" w:cs="Times New Roman"/>
                <w:b/>
                <w:sz w:val="22"/>
                <w:szCs w:val="22"/>
              </w:rPr>
            </w:pPr>
            <w:r w:rsidRPr="007A47A2">
              <w:rPr>
                <w:rFonts w:ascii="Palatino Linotype" w:hAnsi="Palatino Linotype" w:cs="Times New Roman"/>
                <w:b/>
                <w:sz w:val="22"/>
                <w:szCs w:val="22"/>
              </w:rPr>
              <w:t>Numbers (2</w:t>
            </w:r>
            <w:r w:rsidRPr="007A47A2">
              <w:rPr>
                <w:rFonts w:ascii="Palatino Linotype" w:hAnsi="Palatino Linotype" w:cs="Times New Roman"/>
                <w:b/>
                <w:sz w:val="22"/>
                <w:szCs w:val="22"/>
                <w:vertAlign w:val="superscript"/>
              </w:rPr>
              <w:t>nd</w:t>
            </w:r>
            <w:r w:rsidRPr="007A47A2">
              <w:rPr>
                <w:rFonts w:ascii="Palatino Linotype" w:hAnsi="Palatino Linotype" w:cs="Times New Roman"/>
                <w:b/>
                <w:sz w:val="22"/>
                <w:szCs w:val="22"/>
              </w:rPr>
              <w:t xml:space="preserve"> Year/1</w:t>
            </w:r>
            <w:r w:rsidRPr="007A47A2">
              <w:rPr>
                <w:rFonts w:ascii="Palatino Linotype" w:hAnsi="Palatino Linotype" w:cs="Times New Roman"/>
                <w:b/>
                <w:sz w:val="22"/>
                <w:szCs w:val="22"/>
                <w:vertAlign w:val="superscript"/>
              </w:rPr>
              <w:t>st</w:t>
            </w:r>
            <w:r w:rsidRPr="007A47A2">
              <w:rPr>
                <w:rFonts w:ascii="Palatino Linotype" w:hAnsi="Palatino Linotype" w:cs="Times New Roman"/>
                <w:b/>
                <w:sz w:val="22"/>
                <w:szCs w:val="22"/>
              </w:rPr>
              <w:t xml:space="preserve"> Year)</w:t>
            </w:r>
          </w:p>
        </w:tc>
        <w:tc>
          <w:tcPr>
            <w:tcW w:w="0" w:type="auto"/>
          </w:tcPr>
          <w:p w14:paraId="3752A549" w14:textId="4F17B7F9" w:rsidR="007A47A2" w:rsidRPr="007A47A2" w:rsidRDefault="007A47A2" w:rsidP="001B2F77">
            <w:pPr>
              <w:jc w:val="center"/>
              <w:rPr>
                <w:rFonts w:ascii="Palatino Linotype" w:hAnsi="Palatino Linotype" w:cs="Times New Roman"/>
                <w:b/>
                <w:sz w:val="22"/>
                <w:szCs w:val="22"/>
              </w:rPr>
            </w:pPr>
            <w:r w:rsidRPr="007A47A2">
              <w:rPr>
                <w:rFonts w:ascii="Palatino Linotype" w:hAnsi="Palatino Linotype" w:cs="Times New Roman"/>
                <w:b/>
                <w:sz w:val="22"/>
                <w:szCs w:val="22"/>
              </w:rPr>
              <w:t>Percentage</w:t>
            </w:r>
            <w:r w:rsidR="00911930">
              <w:rPr>
                <w:rFonts w:ascii="Palatino Linotype" w:hAnsi="Palatino Linotype" w:cs="Times New Roman"/>
                <w:b/>
                <w:sz w:val="22"/>
                <w:szCs w:val="22"/>
              </w:rPr>
              <w:t xml:space="preserve"> Prgression</w:t>
            </w:r>
          </w:p>
        </w:tc>
      </w:tr>
      <w:tr w:rsidR="007A47A2" w14:paraId="5237E029" w14:textId="77777777" w:rsidTr="001B2F77">
        <w:trPr>
          <w:jc w:val="center"/>
        </w:trPr>
        <w:tc>
          <w:tcPr>
            <w:tcW w:w="0" w:type="auto"/>
          </w:tcPr>
          <w:p w14:paraId="0A837DAF" w14:textId="77777777" w:rsidR="007A47A2" w:rsidRDefault="007A47A2" w:rsidP="001B2F77">
            <w:pPr>
              <w:jc w:val="center"/>
              <w:rPr>
                <w:rFonts w:ascii="Palatino Linotype" w:hAnsi="Palatino Linotype" w:cs="Times New Roman"/>
                <w:sz w:val="22"/>
                <w:szCs w:val="22"/>
              </w:rPr>
            </w:pPr>
            <w:r>
              <w:rPr>
                <w:rFonts w:ascii="Palatino Linotype" w:hAnsi="Palatino Linotype" w:cs="Times New Roman"/>
                <w:sz w:val="22"/>
                <w:szCs w:val="22"/>
              </w:rPr>
              <w:t>2013/14</w:t>
            </w:r>
          </w:p>
        </w:tc>
        <w:tc>
          <w:tcPr>
            <w:tcW w:w="0" w:type="auto"/>
          </w:tcPr>
          <w:p w14:paraId="717949C2" w14:textId="77777777" w:rsidR="007A47A2" w:rsidRDefault="007A47A2" w:rsidP="001B2F77">
            <w:pPr>
              <w:jc w:val="center"/>
              <w:rPr>
                <w:rFonts w:ascii="Palatino Linotype" w:hAnsi="Palatino Linotype" w:cs="Times New Roman"/>
                <w:sz w:val="22"/>
                <w:szCs w:val="22"/>
              </w:rPr>
            </w:pPr>
            <w:r>
              <w:rPr>
                <w:rFonts w:ascii="Palatino Linotype" w:hAnsi="Palatino Linotype" w:cs="Times New Roman"/>
                <w:sz w:val="22"/>
                <w:szCs w:val="22"/>
              </w:rPr>
              <w:t>32/58</w:t>
            </w:r>
          </w:p>
        </w:tc>
        <w:tc>
          <w:tcPr>
            <w:tcW w:w="0" w:type="auto"/>
          </w:tcPr>
          <w:p w14:paraId="550F979A" w14:textId="77777777" w:rsidR="007A47A2" w:rsidRDefault="007A47A2" w:rsidP="001B2F77">
            <w:pPr>
              <w:jc w:val="center"/>
              <w:rPr>
                <w:rFonts w:ascii="Palatino Linotype" w:hAnsi="Palatino Linotype" w:cs="Times New Roman"/>
                <w:sz w:val="22"/>
                <w:szCs w:val="22"/>
              </w:rPr>
            </w:pPr>
            <w:r>
              <w:rPr>
                <w:rFonts w:ascii="Palatino Linotype" w:hAnsi="Palatino Linotype" w:cs="Times New Roman"/>
                <w:sz w:val="22"/>
                <w:szCs w:val="22"/>
              </w:rPr>
              <w:t>55%</w:t>
            </w:r>
          </w:p>
        </w:tc>
      </w:tr>
      <w:tr w:rsidR="007A47A2" w14:paraId="1B4E94ED" w14:textId="77777777" w:rsidTr="007A47A2">
        <w:trPr>
          <w:trHeight w:val="325"/>
          <w:jc w:val="center"/>
        </w:trPr>
        <w:tc>
          <w:tcPr>
            <w:tcW w:w="0" w:type="auto"/>
          </w:tcPr>
          <w:p w14:paraId="449F7057" w14:textId="77777777" w:rsidR="007A47A2" w:rsidRDefault="007A47A2" w:rsidP="001B2F77">
            <w:pPr>
              <w:jc w:val="center"/>
              <w:rPr>
                <w:rFonts w:ascii="Palatino Linotype" w:hAnsi="Palatino Linotype" w:cs="Times New Roman"/>
                <w:sz w:val="22"/>
                <w:szCs w:val="22"/>
              </w:rPr>
            </w:pPr>
            <w:r>
              <w:rPr>
                <w:rFonts w:ascii="Palatino Linotype" w:hAnsi="Palatino Linotype" w:cs="Times New Roman"/>
                <w:sz w:val="22"/>
                <w:szCs w:val="22"/>
              </w:rPr>
              <w:t>2014/15</w:t>
            </w:r>
          </w:p>
        </w:tc>
        <w:tc>
          <w:tcPr>
            <w:tcW w:w="0" w:type="auto"/>
          </w:tcPr>
          <w:p w14:paraId="33A5A594" w14:textId="3E88C1B6" w:rsidR="007A47A2" w:rsidRDefault="000B56F2" w:rsidP="001B2F77">
            <w:pPr>
              <w:jc w:val="center"/>
              <w:rPr>
                <w:rFonts w:ascii="Palatino Linotype" w:hAnsi="Palatino Linotype" w:cs="Times New Roman"/>
                <w:sz w:val="22"/>
                <w:szCs w:val="22"/>
              </w:rPr>
            </w:pPr>
            <w:r>
              <w:rPr>
                <w:rFonts w:ascii="Palatino Linotype" w:hAnsi="Palatino Linotype" w:cs="Times New Roman"/>
                <w:sz w:val="22"/>
                <w:szCs w:val="22"/>
              </w:rPr>
              <w:t>26</w:t>
            </w:r>
            <w:r w:rsidR="007A47A2">
              <w:rPr>
                <w:rFonts w:ascii="Palatino Linotype" w:hAnsi="Palatino Linotype" w:cs="Times New Roman"/>
                <w:sz w:val="22"/>
                <w:szCs w:val="22"/>
              </w:rPr>
              <w:t>/43</w:t>
            </w:r>
          </w:p>
        </w:tc>
        <w:tc>
          <w:tcPr>
            <w:tcW w:w="0" w:type="auto"/>
          </w:tcPr>
          <w:p w14:paraId="74CDEEC9" w14:textId="6808E72B" w:rsidR="007A47A2" w:rsidRDefault="000B56F2" w:rsidP="001B2F77">
            <w:pPr>
              <w:jc w:val="center"/>
              <w:rPr>
                <w:rFonts w:ascii="Palatino Linotype" w:hAnsi="Palatino Linotype" w:cs="Times New Roman"/>
                <w:sz w:val="22"/>
                <w:szCs w:val="22"/>
              </w:rPr>
            </w:pPr>
            <w:r>
              <w:rPr>
                <w:rFonts w:ascii="Palatino Linotype" w:hAnsi="Palatino Linotype" w:cs="Times New Roman"/>
                <w:sz w:val="22"/>
                <w:szCs w:val="22"/>
              </w:rPr>
              <w:t>60</w:t>
            </w:r>
            <w:r w:rsidR="007A47A2">
              <w:rPr>
                <w:rFonts w:ascii="Palatino Linotype" w:hAnsi="Palatino Linotype" w:cs="Times New Roman"/>
                <w:sz w:val="22"/>
                <w:szCs w:val="22"/>
              </w:rPr>
              <w:t>%</w:t>
            </w:r>
          </w:p>
        </w:tc>
      </w:tr>
      <w:tr w:rsidR="007A47A2" w14:paraId="0DEF03F7" w14:textId="77777777" w:rsidTr="001B2F77">
        <w:trPr>
          <w:jc w:val="center"/>
        </w:trPr>
        <w:tc>
          <w:tcPr>
            <w:tcW w:w="0" w:type="auto"/>
          </w:tcPr>
          <w:p w14:paraId="30B3FDF9" w14:textId="77777777" w:rsidR="007A47A2" w:rsidRDefault="007A47A2" w:rsidP="001B2F77">
            <w:pPr>
              <w:jc w:val="center"/>
              <w:rPr>
                <w:rFonts w:ascii="Palatino Linotype" w:hAnsi="Palatino Linotype" w:cs="Times New Roman"/>
                <w:sz w:val="22"/>
                <w:szCs w:val="22"/>
              </w:rPr>
            </w:pPr>
            <w:r>
              <w:rPr>
                <w:rFonts w:ascii="Palatino Linotype" w:hAnsi="Palatino Linotype" w:cs="Times New Roman"/>
                <w:sz w:val="22"/>
                <w:szCs w:val="22"/>
              </w:rPr>
              <w:t>2015/16</w:t>
            </w:r>
          </w:p>
        </w:tc>
        <w:tc>
          <w:tcPr>
            <w:tcW w:w="0" w:type="auto"/>
          </w:tcPr>
          <w:p w14:paraId="042303F1" w14:textId="7C60B2FE" w:rsidR="007A47A2" w:rsidRDefault="000B56F2" w:rsidP="001B2F77">
            <w:pPr>
              <w:jc w:val="center"/>
              <w:rPr>
                <w:rFonts w:ascii="Palatino Linotype" w:hAnsi="Palatino Linotype" w:cs="Times New Roman"/>
                <w:sz w:val="22"/>
                <w:szCs w:val="22"/>
              </w:rPr>
            </w:pPr>
            <w:r>
              <w:rPr>
                <w:rFonts w:ascii="Palatino Linotype" w:hAnsi="Palatino Linotype" w:cs="Times New Roman"/>
                <w:sz w:val="22"/>
                <w:szCs w:val="22"/>
              </w:rPr>
              <w:t>27</w:t>
            </w:r>
            <w:r w:rsidR="007A47A2">
              <w:rPr>
                <w:rFonts w:ascii="Palatino Linotype" w:hAnsi="Palatino Linotype" w:cs="Times New Roman"/>
                <w:sz w:val="22"/>
                <w:szCs w:val="22"/>
              </w:rPr>
              <w:t>/44</w:t>
            </w:r>
          </w:p>
        </w:tc>
        <w:tc>
          <w:tcPr>
            <w:tcW w:w="0" w:type="auto"/>
          </w:tcPr>
          <w:p w14:paraId="4E5AD6CB" w14:textId="6D688962" w:rsidR="007A47A2" w:rsidRDefault="000B56F2" w:rsidP="001B2F77">
            <w:pPr>
              <w:jc w:val="center"/>
              <w:rPr>
                <w:rFonts w:ascii="Palatino Linotype" w:hAnsi="Palatino Linotype" w:cs="Times New Roman"/>
                <w:sz w:val="22"/>
                <w:szCs w:val="22"/>
              </w:rPr>
            </w:pPr>
            <w:r>
              <w:rPr>
                <w:rFonts w:ascii="Palatino Linotype" w:hAnsi="Palatino Linotype" w:cs="Times New Roman"/>
                <w:sz w:val="22"/>
                <w:szCs w:val="22"/>
              </w:rPr>
              <w:t>61</w:t>
            </w:r>
            <w:r w:rsidR="007A47A2">
              <w:rPr>
                <w:rFonts w:ascii="Palatino Linotype" w:hAnsi="Palatino Linotype" w:cs="Times New Roman"/>
                <w:sz w:val="22"/>
                <w:szCs w:val="22"/>
              </w:rPr>
              <w:t>%</w:t>
            </w:r>
          </w:p>
        </w:tc>
      </w:tr>
    </w:tbl>
    <w:p w14:paraId="39E35774" w14:textId="77777777" w:rsidR="007A47A2" w:rsidRDefault="007A47A2" w:rsidP="00271D69">
      <w:pPr>
        <w:ind w:firstLine="720"/>
        <w:jc w:val="both"/>
        <w:rPr>
          <w:rFonts w:ascii="Palatino Linotype" w:hAnsi="Palatino Linotype" w:cs="Times New Roman"/>
          <w:sz w:val="22"/>
          <w:szCs w:val="22"/>
        </w:rPr>
      </w:pPr>
    </w:p>
    <w:p w14:paraId="5BF9ADFD" w14:textId="49D1C187" w:rsidR="00911930" w:rsidRDefault="00911930" w:rsidP="00681FFE">
      <w:pPr>
        <w:ind w:firstLine="720"/>
        <w:jc w:val="both"/>
        <w:rPr>
          <w:rFonts w:ascii="Palatino Linotype" w:hAnsi="Palatino Linotype" w:cs="Times New Roman"/>
          <w:sz w:val="22"/>
          <w:szCs w:val="22"/>
        </w:rPr>
      </w:pPr>
      <w:r>
        <w:rPr>
          <w:rFonts w:ascii="Palatino Linotype" w:hAnsi="Palatino Linotype" w:cs="Times New Roman"/>
          <w:sz w:val="22"/>
          <w:szCs w:val="22"/>
        </w:rPr>
        <w:t xml:space="preserve">The rate of non-progression is significantly worse when </w:t>
      </w:r>
      <w:r w:rsidR="00BC3849">
        <w:rPr>
          <w:rFonts w:ascii="Palatino Linotype" w:hAnsi="Palatino Linotype" w:cs="Times New Roman"/>
          <w:sz w:val="22"/>
          <w:szCs w:val="22"/>
        </w:rPr>
        <w:t>compared to the figures across the sector as provided by the HEA</w:t>
      </w:r>
      <w:r>
        <w:rPr>
          <w:rFonts w:ascii="Palatino Linotype" w:hAnsi="Palatino Linotype" w:cs="Times New Roman"/>
          <w:sz w:val="22"/>
          <w:szCs w:val="22"/>
        </w:rPr>
        <w:t xml:space="preserve">. In sum, the programme is retaining short of two-thirds of first years. </w:t>
      </w:r>
    </w:p>
    <w:p w14:paraId="3D823ED7" w14:textId="7C87DA4F" w:rsidR="00E709C0" w:rsidRDefault="00911930" w:rsidP="00681FFE">
      <w:pPr>
        <w:ind w:firstLine="720"/>
        <w:jc w:val="both"/>
        <w:rPr>
          <w:rFonts w:ascii="Palatino Linotype" w:hAnsi="Palatino Linotype" w:cs="Times New Roman"/>
          <w:sz w:val="22"/>
          <w:szCs w:val="22"/>
        </w:rPr>
      </w:pPr>
      <w:r>
        <w:rPr>
          <w:rFonts w:ascii="Palatino Linotype" w:hAnsi="Palatino Linotype" w:cs="Times New Roman"/>
          <w:sz w:val="22"/>
          <w:szCs w:val="22"/>
        </w:rPr>
        <w:t xml:space="preserve">The good topline figure is because </w:t>
      </w:r>
      <w:r w:rsidR="00681FFE">
        <w:rPr>
          <w:rFonts w:ascii="Palatino Linotype" w:hAnsi="Palatino Linotype" w:cs="Times New Roman"/>
          <w:sz w:val="22"/>
          <w:szCs w:val="22"/>
        </w:rPr>
        <w:t>the attrition of students in first on campus is being offset by the number of students transferring into second year from the Maynooth University Kilkenny Campus</w:t>
      </w:r>
      <w:r>
        <w:rPr>
          <w:rFonts w:ascii="Palatino Linotype" w:hAnsi="Palatino Linotype" w:cs="Times New Roman"/>
          <w:sz w:val="22"/>
          <w:szCs w:val="22"/>
        </w:rPr>
        <w:t xml:space="preserve"> (and are not registered as first year in the PU figures)</w:t>
      </w:r>
      <w:r w:rsidR="00681FFE">
        <w:rPr>
          <w:rFonts w:ascii="Palatino Linotype" w:hAnsi="Palatino Linotype" w:cs="Times New Roman"/>
          <w:sz w:val="22"/>
          <w:szCs w:val="22"/>
        </w:rPr>
        <w:t xml:space="preserve">. </w:t>
      </w:r>
    </w:p>
    <w:p w14:paraId="09559F25" w14:textId="77777777" w:rsidR="00911930" w:rsidRDefault="00911930" w:rsidP="00911930">
      <w:pPr>
        <w:ind w:firstLine="720"/>
        <w:jc w:val="both"/>
        <w:rPr>
          <w:rFonts w:ascii="Palatino Linotype" w:hAnsi="Palatino Linotype" w:cs="Times New Roman"/>
          <w:sz w:val="22"/>
          <w:szCs w:val="22"/>
        </w:rPr>
      </w:pPr>
      <w:r>
        <w:rPr>
          <w:rFonts w:ascii="Palatino Linotype" w:hAnsi="Palatino Linotype" w:cs="Times New Roman"/>
          <w:sz w:val="22"/>
          <w:szCs w:val="22"/>
        </w:rPr>
        <w:t xml:space="preserve">The figures point to two broad conclusions: </w:t>
      </w:r>
    </w:p>
    <w:p w14:paraId="7FDCAF34" w14:textId="34C6F555" w:rsidR="00911930" w:rsidRDefault="00911930" w:rsidP="00911930">
      <w:pPr>
        <w:pStyle w:val="ListParagraph"/>
        <w:numPr>
          <w:ilvl w:val="0"/>
          <w:numId w:val="25"/>
        </w:numPr>
        <w:jc w:val="both"/>
        <w:rPr>
          <w:rFonts w:ascii="Palatino Linotype" w:hAnsi="Palatino Linotype" w:cs="Times New Roman"/>
          <w:sz w:val="22"/>
          <w:szCs w:val="22"/>
        </w:rPr>
      </w:pPr>
      <w:r w:rsidRPr="00911930">
        <w:rPr>
          <w:rFonts w:ascii="Palatino Linotype" w:hAnsi="Palatino Linotype" w:cs="Times New Roman"/>
          <w:sz w:val="22"/>
          <w:szCs w:val="22"/>
        </w:rPr>
        <w:t xml:space="preserve">the ongoing importance of the Kilkenny campus </w:t>
      </w:r>
    </w:p>
    <w:p w14:paraId="535D347D" w14:textId="356D5BDB" w:rsidR="00911930" w:rsidRPr="00911930" w:rsidRDefault="00911930" w:rsidP="00911930">
      <w:pPr>
        <w:pStyle w:val="ListParagraph"/>
        <w:numPr>
          <w:ilvl w:val="0"/>
          <w:numId w:val="25"/>
        </w:numPr>
        <w:jc w:val="both"/>
        <w:rPr>
          <w:rFonts w:ascii="Palatino Linotype" w:hAnsi="Palatino Linotype" w:cs="Times New Roman"/>
          <w:sz w:val="22"/>
          <w:szCs w:val="22"/>
        </w:rPr>
      </w:pPr>
      <w:r>
        <w:rPr>
          <w:rFonts w:ascii="Palatino Linotype" w:hAnsi="Palatino Linotype" w:cs="Times New Roman"/>
          <w:sz w:val="22"/>
          <w:szCs w:val="22"/>
        </w:rPr>
        <w:t xml:space="preserve">the importance to enhance success and retention of first year students on campus. </w:t>
      </w:r>
    </w:p>
    <w:p w14:paraId="12B9D2A1" w14:textId="0D302EAE" w:rsidR="00911930" w:rsidRDefault="00911930" w:rsidP="00681FFE">
      <w:pPr>
        <w:ind w:firstLine="720"/>
        <w:jc w:val="both"/>
        <w:rPr>
          <w:rFonts w:ascii="Palatino Linotype" w:hAnsi="Palatino Linotype" w:cs="Times New Roman"/>
          <w:sz w:val="22"/>
          <w:szCs w:val="22"/>
        </w:rPr>
      </w:pPr>
      <w:r>
        <w:rPr>
          <w:rFonts w:ascii="Palatino Linotype" w:hAnsi="Palatino Linotype" w:cs="Times New Roman"/>
          <w:sz w:val="22"/>
          <w:szCs w:val="22"/>
        </w:rPr>
        <w:t xml:space="preserve">Therefore, both matters are of vitally important to the ongoing sustainability of the programme and need to be supported as a matter of priority.   </w:t>
      </w:r>
    </w:p>
    <w:p w14:paraId="3D4139B5" w14:textId="79B87FD2" w:rsidR="00681FFE" w:rsidRDefault="00052B78" w:rsidP="00681FFE">
      <w:pPr>
        <w:ind w:firstLine="720"/>
        <w:jc w:val="both"/>
        <w:rPr>
          <w:rFonts w:ascii="Palatino Linotype" w:hAnsi="Palatino Linotype" w:cs="Times New Roman"/>
          <w:sz w:val="22"/>
          <w:szCs w:val="22"/>
        </w:rPr>
      </w:pPr>
      <w:r>
        <w:rPr>
          <w:rFonts w:ascii="Palatino Linotype" w:hAnsi="Palatino Linotype" w:cs="Times New Roman"/>
          <w:sz w:val="22"/>
          <w:szCs w:val="22"/>
        </w:rPr>
        <w:t>On average over the three years, t</w:t>
      </w:r>
      <w:r w:rsidR="00681FFE">
        <w:rPr>
          <w:rFonts w:ascii="Palatino Linotype" w:hAnsi="Palatino Linotype" w:cs="Times New Roman"/>
          <w:sz w:val="22"/>
          <w:szCs w:val="22"/>
        </w:rPr>
        <w:t xml:space="preserve">he reasons for not proceeding to first year in descending </w:t>
      </w:r>
      <w:r>
        <w:rPr>
          <w:rFonts w:ascii="Palatino Linotype" w:hAnsi="Palatino Linotype" w:cs="Times New Roman"/>
          <w:sz w:val="22"/>
          <w:szCs w:val="22"/>
        </w:rPr>
        <w:t>are</w:t>
      </w:r>
      <w:r w:rsidR="00681FFE">
        <w:rPr>
          <w:rFonts w:ascii="Palatino Linotype" w:hAnsi="Palatino Linotype" w:cs="Times New Roman"/>
          <w:sz w:val="22"/>
          <w:szCs w:val="22"/>
        </w:rPr>
        <w:t xml:space="preserve">: </w:t>
      </w:r>
    </w:p>
    <w:p w14:paraId="7FFDB750" w14:textId="77777777" w:rsidR="000B56F2" w:rsidRDefault="000B56F2" w:rsidP="00681FFE">
      <w:pPr>
        <w:ind w:firstLine="720"/>
        <w:jc w:val="both"/>
        <w:rPr>
          <w:rFonts w:ascii="Palatino Linotype" w:hAnsi="Palatino Linotype" w:cs="Times New Roman"/>
          <w:sz w:val="22"/>
          <w:szCs w:val="22"/>
        </w:rPr>
      </w:pPr>
    </w:p>
    <w:tbl>
      <w:tblPr>
        <w:tblStyle w:val="TableGrid"/>
        <w:tblW w:w="0" w:type="auto"/>
        <w:jc w:val="center"/>
        <w:tblLook w:val="04A0" w:firstRow="1" w:lastRow="0" w:firstColumn="1" w:lastColumn="0" w:noHBand="0" w:noVBand="1"/>
      </w:tblPr>
      <w:tblGrid>
        <w:gridCol w:w="3355"/>
        <w:gridCol w:w="1304"/>
      </w:tblGrid>
      <w:tr w:rsidR="000B56F2" w14:paraId="50B743B0" w14:textId="77777777" w:rsidTr="00BD0439">
        <w:trPr>
          <w:trHeight w:val="324"/>
          <w:jc w:val="center"/>
        </w:trPr>
        <w:tc>
          <w:tcPr>
            <w:tcW w:w="0" w:type="auto"/>
          </w:tcPr>
          <w:p w14:paraId="697AAE7B" w14:textId="4B25B0D5" w:rsidR="000B56F2" w:rsidRPr="00BD0439" w:rsidRDefault="000B56F2" w:rsidP="00BD0439">
            <w:pPr>
              <w:jc w:val="center"/>
              <w:rPr>
                <w:rFonts w:ascii="Palatino Linotype" w:hAnsi="Palatino Linotype" w:cs="Times New Roman"/>
                <w:b/>
                <w:sz w:val="22"/>
                <w:szCs w:val="22"/>
              </w:rPr>
            </w:pPr>
            <w:r w:rsidRPr="00BD0439">
              <w:rPr>
                <w:rFonts w:ascii="Palatino Linotype" w:hAnsi="Palatino Linotype" w:cs="Times New Roman"/>
                <w:b/>
                <w:sz w:val="22"/>
                <w:szCs w:val="22"/>
              </w:rPr>
              <w:t>Reason</w:t>
            </w:r>
          </w:p>
        </w:tc>
        <w:tc>
          <w:tcPr>
            <w:tcW w:w="0" w:type="auto"/>
          </w:tcPr>
          <w:p w14:paraId="2284838C" w14:textId="7A73DA55" w:rsidR="000B56F2" w:rsidRPr="00BD0439" w:rsidRDefault="000B56F2" w:rsidP="00BD0439">
            <w:pPr>
              <w:jc w:val="center"/>
              <w:rPr>
                <w:rFonts w:ascii="Palatino Linotype" w:hAnsi="Palatino Linotype" w:cs="Times New Roman"/>
                <w:b/>
                <w:sz w:val="22"/>
                <w:szCs w:val="22"/>
              </w:rPr>
            </w:pPr>
            <w:r w:rsidRPr="00BD0439">
              <w:rPr>
                <w:rFonts w:ascii="Palatino Linotype" w:hAnsi="Palatino Linotype" w:cs="Times New Roman"/>
                <w:b/>
                <w:sz w:val="22"/>
                <w:szCs w:val="22"/>
              </w:rPr>
              <w:t>Percentage</w:t>
            </w:r>
          </w:p>
        </w:tc>
      </w:tr>
      <w:tr w:rsidR="000B56F2" w14:paraId="7D3FE1D1" w14:textId="77777777" w:rsidTr="00BD0439">
        <w:trPr>
          <w:jc w:val="center"/>
        </w:trPr>
        <w:tc>
          <w:tcPr>
            <w:tcW w:w="0" w:type="auto"/>
          </w:tcPr>
          <w:p w14:paraId="21AC88C3" w14:textId="23E025BD" w:rsidR="000B56F2" w:rsidRDefault="000B56F2" w:rsidP="00BD0439">
            <w:pPr>
              <w:jc w:val="center"/>
              <w:rPr>
                <w:rFonts w:ascii="Palatino Linotype" w:hAnsi="Palatino Linotype" w:cs="Times New Roman"/>
                <w:sz w:val="22"/>
                <w:szCs w:val="22"/>
              </w:rPr>
            </w:pPr>
            <w:r>
              <w:rPr>
                <w:rFonts w:ascii="Palatino Linotype" w:hAnsi="Palatino Linotype" w:cs="Times New Roman"/>
                <w:sz w:val="22"/>
                <w:szCs w:val="22"/>
              </w:rPr>
              <w:t>Failing to Progress / Pulling Out</w:t>
            </w:r>
          </w:p>
        </w:tc>
        <w:tc>
          <w:tcPr>
            <w:tcW w:w="0" w:type="auto"/>
          </w:tcPr>
          <w:p w14:paraId="730761CD" w14:textId="6A041172" w:rsidR="000B56F2" w:rsidRDefault="00BD0439" w:rsidP="00BD0439">
            <w:pPr>
              <w:jc w:val="center"/>
              <w:rPr>
                <w:rFonts w:ascii="Palatino Linotype" w:hAnsi="Palatino Linotype" w:cs="Times New Roman"/>
                <w:sz w:val="22"/>
                <w:szCs w:val="22"/>
              </w:rPr>
            </w:pPr>
            <w:r>
              <w:rPr>
                <w:rFonts w:ascii="Palatino Linotype" w:hAnsi="Palatino Linotype" w:cs="Times New Roman"/>
                <w:sz w:val="22"/>
                <w:szCs w:val="22"/>
              </w:rPr>
              <w:t>50%</w:t>
            </w:r>
          </w:p>
        </w:tc>
      </w:tr>
      <w:tr w:rsidR="000B56F2" w14:paraId="4C83DDE6" w14:textId="77777777" w:rsidTr="00BD0439">
        <w:trPr>
          <w:jc w:val="center"/>
        </w:trPr>
        <w:tc>
          <w:tcPr>
            <w:tcW w:w="0" w:type="auto"/>
          </w:tcPr>
          <w:p w14:paraId="16C701F2" w14:textId="15910ABF" w:rsidR="000B56F2" w:rsidRDefault="000B56F2" w:rsidP="00BD0439">
            <w:pPr>
              <w:jc w:val="center"/>
              <w:rPr>
                <w:rFonts w:ascii="Palatino Linotype" w:hAnsi="Palatino Linotype" w:cs="Times New Roman"/>
                <w:sz w:val="22"/>
                <w:szCs w:val="22"/>
              </w:rPr>
            </w:pPr>
            <w:r>
              <w:rPr>
                <w:rFonts w:ascii="Palatino Linotype" w:hAnsi="Palatino Linotype" w:cs="Times New Roman"/>
                <w:sz w:val="22"/>
                <w:szCs w:val="22"/>
              </w:rPr>
              <w:t xml:space="preserve">Repeating </w:t>
            </w:r>
            <w:r w:rsidR="00911930">
              <w:rPr>
                <w:rFonts w:ascii="Palatino Linotype" w:hAnsi="Palatino Linotype" w:cs="Times New Roman"/>
                <w:sz w:val="22"/>
                <w:szCs w:val="22"/>
              </w:rPr>
              <w:t>Year</w:t>
            </w:r>
            <w:r>
              <w:rPr>
                <w:rFonts w:ascii="Palatino Linotype" w:hAnsi="Palatino Linotype" w:cs="Times New Roman"/>
                <w:sz w:val="22"/>
                <w:szCs w:val="22"/>
              </w:rPr>
              <w:t>/Deferring</w:t>
            </w:r>
          </w:p>
        </w:tc>
        <w:tc>
          <w:tcPr>
            <w:tcW w:w="0" w:type="auto"/>
          </w:tcPr>
          <w:p w14:paraId="6BA24D7E" w14:textId="68C43D4C" w:rsidR="000B56F2" w:rsidRDefault="00BD0439" w:rsidP="00BD0439">
            <w:pPr>
              <w:jc w:val="center"/>
              <w:rPr>
                <w:rFonts w:ascii="Palatino Linotype" w:hAnsi="Palatino Linotype" w:cs="Times New Roman"/>
                <w:sz w:val="22"/>
                <w:szCs w:val="22"/>
              </w:rPr>
            </w:pPr>
            <w:r>
              <w:rPr>
                <w:rFonts w:ascii="Palatino Linotype" w:hAnsi="Palatino Linotype" w:cs="Times New Roman"/>
                <w:sz w:val="22"/>
                <w:szCs w:val="22"/>
              </w:rPr>
              <w:t>25</w:t>
            </w:r>
            <w:r w:rsidR="00E06D4B">
              <w:rPr>
                <w:rFonts w:ascii="Palatino Linotype" w:hAnsi="Palatino Linotype" w:cs="Times New Roman"/>
                <w:sz w:val="22"/>
                <w:szCs w:val="22"/>
              </w:rPr>
              <w:t>%</w:t>
            </w:r>
          </w:p>
        </w:tc>
      </w:tr>
      <w:tr w:rsidR="000B56F2" w14:paraId="690EDE52" w14:textId="77777777" w:rsidTr="00BD0439">
        <w:trPr>
          <w:trHeight w:val="311"/>
          <w:jc w:val="center"/>
        </w:trPr>
        <w:tc>
          <w:tcPr>
            <w:tcW w:w="0" w:type="auto"/>
          </w:tcPr>
          <w:p w14:paraId="79E49598" w14:textId="5167A8AC" w:rsidR="000B56F2" w:rsidRDefault="000B56F2" w:rsidP="00BD0439">
            <w:pPr>
              <w:jc w:val="center"/>
              <w:rPr>
                <w:rFonts w:ascii="Palatino Linotype" w:hAnsi="Palatino Linotype" w:cs="Times New Roman"/>
                <w:sz w:val="22"/>
                <w:szCs w:val="22"/>
              </w:rPr>
            </w:pPr>
            <w:r>
              <w:rPr>
                <w:rFonts w:ascii="Palatino Linotype" w:hAnsi="Palatino Linotype" w:cs="Times New Roman"/>
                <w:sz w:val="22"/>
                <w:szCs w:val="22"/>
              </w:rPr>
              <w:t>Transferring to MU</w:t>
            </w:r>
          </w:p>
        </w:tc>
        <w:tc>
          <w:tcPr>
            <w:tcW w:w="0" w:type="auto"/>
          </w:tcPr>
          <w:p w14:paraId="514BEEA4" w14:textId="76049BBF" w:rsidR="000B56F2" w:rsidRDefault="000B56F2" w:rsidP="00BD0439">
            <w:pPr>
              <w:jc w:val="center"/>
              <w:rPr>
                <w:rFonts w:ascii="Palatino Linotype" w:hAnsi="Palatino Linotype" w:cs="Times New Roman"/>
                <w:sz w:val="22"/>
                <w:szCs w:val="22"/>
              </w:rPr>
            </w:pPr>
            <w:r>
              <w:rPr>
                <w:rFonts w:ascii="Palatino Linotype" w:hAnsi="Palatino Linotype" w:cs="Times New Roman"/>
                <w:sz w:val="22"/>
                <w:szCs w:val="22"/>
              </w:rPr>
              <w:t>20%</w:t>
            </w:r>
          </w:p>
        </w:tc>
      </w:tr>
      <w:tr w:rsidR="000B56F2" w14:paraId="471EC251" w14:textId="77777777" w:rsidTr="00BD0439">
        <w:trPr>
          <w:jc w:val="center"/>
        </w:trPr>
        <w:tc>
          <w:tcPr>
            <w:tcW w:w="0" w:type="auto"/>
          </w:tcPr>
          <w:p w14:paraId="126CA629" w14:textId="10BE9E10" w:rsidR="000B56F2" w:rsidRDefault="000B56F2" w:rsidP="00BD0439">
            <w:pPr>
              <w:jc w:val="center"/>
              <w:rPr>
                <w:rFonts w:ascii="Palatino Linotype" w:hAnsi="Palatino Linotype" w:cs="Times New Roman"/>
                <w:sz w:val="22"/>
                <w:szCs w:val="22"/>
              </w:rPr>
            </w:pPr>
            <w:r>
              <w:rPr>
                <w:rFonts w:ascii="Palatino Linotype" w:hAnsi="Palatino Linotype" w:cs="Times New Roman"/>
                <w:sz w:val="22"/>
                <w:szCs w:val="22"/>
              </w:rPr>
              <w:t>Other (eg Joining Seminary)</w:t>
            </w:r>
          </w:p>
        </w:tc>
        <w:tc>
          <w:tcPr>
            <w:tcW w:w="0" w:type="auto"/>
          </w:tcPr>
          <w:p w14:paraId="6D2F355A" w14:textId="294DAC85" w:rsidR="000B56F2" w:rsidRDefault="00BD0439" w:rsidP="00BD0439">
            <w:pPr>
              <w:jc w:val="center"/>
              <w:rPr>
                <w:rFonts w:ascii="Palatino Linotype" w:hAnsi="Palatino Linotype" w:cs="Times New Roman"/>
                <w:sz w:val="22"/>
                <w:szCs w:val="22"/>
              </w:rPr>
            </w:pPr>
            <w:r>
              <w:rPr>
                <w:rFonts w:ascii="Palatino Linotype" w:hAnsi="Palatino Linotype" w:cs="Times New Roman"/>
                <w:sz w:val="22"/>
                <w:szCs w:val="22"/>
              </w:rPr>
              <w:t>5</w:t>
            </w:r>
            <w:r w:rsidR="0093177A">
              <w:rPr>
                <w:rFonts w:ascii="Palatino Linotype" w:hAnsi="Palatino Linotype" w:cs="Times New Roman"/>
                <w:sz w:val="22"/>
                <w:szCs w:val="22"/>
              </w:rPr>
              <w:t>%</w:t>
            </w:r>
          </w:p>
        </w:tc>
      </w:tr>
    </w:tbl>
    <w:p w14:paraId="0C7B8861" w14:textId="785607E4" w:rsidR="00911930" w:rsidRDefault="00911930" w:rsidP="0072005E">
      <w:pPr>
        <w:jc w:val="both"/>
        <w:rPr>
          <w:rFonts w:ascii="Palatino Linotype" w:hAnsi="Palatino Linotype" w:cs="Times New Roman"/>
          <w:sz w:val="22"/>
          <w:szCs w:val="22"/>
        </w:rPr>
      </w:pPr>
    </w:p>
    <w:p w14:paraId="7A2BA96E" w14:textId="6841A6B3" w:rsidR="00051FB4" w:rsidRDefault="00051FB4">
      <w:pPr>
        <w:rPr>
          <w:rFonts w:ascii="Palatino Linotype" w:hAnsi="Palatino Linotype" w:cs="Times New Roman"/>
          <w:i/>
          <w:sz w:val="22"/>
          <w:szCs w:val="22"/>
        </w:rPr>
      </w:pPr>
      <w:r>
        <w:rPr>
          <w:rFonts w:ascii="Palatino Linotype" w:hAnsi="Palatino Linotype" w:cs="Times New Roman"/>
          <w:i/>
          <w:sz w:val="22"/>
          <w:szCs w:val="22"/>
        </w:rPr>
        <w:br w:type="page"/>
      </w:r>
    </w:p>
    <w:p w14:paraId="39A50E20" w14:textId="77777777" w:rsidR="00911930" w:rsidRDefault="00911930" w:rsidP="0072005E">
      <w:pPr>
        <w:jc w:val="both"/>
        <w:rPr>
          <w:rFonts w:ascii="Palatino Linotype" w:hAnsi="Palatino Linotype" w:cs="Times New Roman"/>
          <w:i/>
          <w:sz w:val="22"/>
          <w:szCs w:val="22"/>
        </w:rPr>
      </w:pPr>
    </w:p>
    <w:p w14:paraId="6B081273" w14:textId="0AA1E02D" w:rsidR="0089219E" w:rsidRPr="0071220C" w:rsidRDefault="0089219E" w:rsidP="0071220C">
      <w:pPr>
        <w:pStyle w:val="ListParagraph"/>
        <w:numPr>
          <w:ilvl w:val="0"/>
          <w:numId w:val="26"/>
        </w:numPr>
        <w:jc w:val="both"/>
        <w:rPr>
          <w:rFonts w:ascii="Palatino Linotype" w:hAnsi="Palatino Linotype" w:cs="Times New Roman"/>
          <w:i/>
          <w:sz w:val="22"/>
          <w:szCs w:val="22"/>
        </w:rPr>
      </w:pPr>
      <w:r w:rsidRPr="0071220C">
        <w:rPr>
          <w:rFonts w:ascii="Palatino Linotype" w:hAnsi="Palatino Linotype" w:cs="Times New Roman"/>
          <w:i/>
          <w:sz w:val="22"/>
          <w:szCs w:val="22"/>
        </w:rPr>
        <w:t xml:space="preserve">Literature Review  </w:t>
      </w:r>
      <w:r w:rsidR="00B40DFC" w:rsidRPr="0071220C">
        <w:rPr>
          <w:rFonts w:ascii="Palatino Linotype" w:hAnsi="Palatino Linotype" w:cs="Times New Roman"/>
          <w:i/>
          <w:sz w:val="22"/>
          <w:szCs w:val="22"/>
        </w:rPr>
        <w:t xml:space="preserve"> </w:t>
      </w:r>
    </w:p>
    <w:p w14:paraId="64D66CF9" w14:textId="77777777" w:rsidR="00C239F1" w:rsidRPr="000330E5" w:rsidRDefault="00C239F1" w:rsidP="00C239F1">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As noted above, HEA studies point to a strong link between prior educational attainment and successful  progression. Regardless of the sector or level that a student enters, research reports that students with lower leaving certificate points are less likely to progress to the following academic year.  </w:t>
      </w:r>
    </w:p>
    <w:p w14:paraId="5DE387B0" w14:textId="043A94A6" w:rsidR="0089219E" w:rsidRPr="000330E5" w:rsidRDefault="00C239F1" w:rsidP="0072005E">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This being said, t</w:t>
      </w:r>
      <w:r w:rsidR="003521C9" w:rsidRPr="000330E5">
        <w:rPr>
          <w:rFonts w:ascii="Palatino Linotype" w:hAnsi="Palatino Linotype" w:cs="Times New Roman"/>
          <w:sz w:val="22"/>
          <w:szCs w:val="22"/>
        </w:rPr>
        <w:t xml:space="preserve">here is rarely one single cause across the cases of non-completion. </w:t>
      </w:r>
      <w:r w:rsidR="0089219E" w:rsidRPr="000330E5">
        <w:rPr>
          <w:rFonts w:ascii="Palatino Linotype" w:hAnsi="Palatino Linotype" w:cs="Times New Roman"/>
          <w:sz w:val="22"/>
          <w:szCs w:val="22"/>
        </w:rPr>
        <w:t>Research p</w:t>
      </w:r>
      <w:r w:rsidR="009D35E3" w:rsidRPr="000330E5">
        <w:rPr>
          <w:rFonts w:ascii="Palatino Linotype" w:hAnsi="Palatino Linotype" w:cs="Times New Roman"/>
          <w:sz w:val="22"/>
          <w:szCs w:val="22"/>
        </w:rPr>
        <w:t>oints to a variety of reasons</w:t>
      </w:r>
      <w:r w:rsidR="0089219E" w:rsidRPr="000330E5">
        <w:rPr>
          <w:rFonts w:ascii="Palatino Linotype" w:hAnsi="Palatino Linotype" w:cs="Times New Roman"/>
          <w:sz w:val="22"/>
          <w:szCs w:val="22"/>
        </w:rPr>
        <w:t xml:space="preserve"> why students leave higher education, including personal, institutional and social factors.</w:t>
      </w:r>
      <w:r w:rsidR="0089219E" w:rsidRPr="000330E5">
        <w:rPr>
          <w:rStyle w:val="FootnoteReference"/>
          <w:rFonts w:ascii="Palatino Linotype" w:hAnsi="Palatino Linotype" w:cs="Times New Roman"/>
          <w:sz w:val="22"/>
          <w:szCs w:val="22"/>
        </w:rPr>
        <w:footnoteReference w:id="8"/>
      </w:r>
      <w:r w:rsidR="0089219E" w:rsidRPr="000330E5">
        <w:rPr>
          <w:rFonts w:ascii="Palatino Linotype" w:hAnsi="Palatino Linotype" w:cs="Times New Roman"/>
          <w:sz w:val="22"/>
          <w:szCs w:val="22"/>
        </w:rPr>
        <w:t xml:space="preserve">  </w:t>
      </w:r>
    </w:p>
    <w:p w14:paraId="7CD95C60" w14:textId="604E35E0" w:rsidR="0089219E" w:rsidRPr="000330E5" w:rsidRDefault="003521C9" w:rsidP="0072005E">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Differing levels of readiness and t</w:t>
      </w:r>
      <w:r w:rsidR="0089219E" w:rsidRPr="000330E5">
        <w:rPr>
          <w:rFonts w:ascii="Palatino Linotype" w:hAnsi="Palatino Linotype" w:cs="Times New Roman"/>
          <w:sz w:val="22"/>
          <w:szCs w:val="22"/>
        </w:rPr>
        <w:t xml:space="preserve">he widening participation into higher education, </w:t>
      </w:r>
      <w:r w:rsidRPr="000330E5">
        <w:rPr>
          <w:rFonts w:ascii="Palatino Linotype" w:hAnsi="Palatino Linotype" w:cs="Times New Roman"/>
          <w:sz w:val="22"/>
          <w:szCs w:val="22"/>
        </w:rPr>
        <w:t>including those who are first ge</w:t>
      </w:r>
      <w:r w:rsidR="00C239F1" w:rsidRPr="000330E5">
        <w:rPr>
          <w:rFonts w:ascii="Palatino Linotype" w:hAnsi="Palatino Linotype" w:cs="Times New Roman"/>
          <w:sz w:val="22"/>
          <w:szCs w:val="22"/>
        </w:rPr>
        <w:t>neration higher-</w:t>
      </w:r>
      <w:r w:rsidRPr="000330E5">
        <w:rPr>
          <w:rFonts w:ascii="Palatino Linotype" w:hAnsi="Palatino Linotype" w:cs="Times New Roman"/>
          <w:sz w:val="22"/>
          <w:szCs w:val="22"/>
        </w:rPr>
        <w:t xml:space="preserve">level students </w:t>
      </w:r>
      <w:r w:rsidR="0089219E" w:rsidRPr="000330E5">
        <w:rPr>
          <w:rFonts w:ascii="Palatino Linotype" w:hAnsi="Palatino Linotype" w:cs="Times New Roman"/>
          <w:sz w:val="22"/>
          <w:szCs w:val="22"/>
        </w:rPr>
        <w:t>many from non-</w:t>
      </w:r>
      <w:r w:rsidR="007B40E8" w:rsidRPr="000330E5">
        <w:rPr>
          <w:rFonts w:ascii="Palatino Linotype" w:hAnsi="Palatino Linotype" w:cs="Times New Roman"/>
          <w:sz w:val="22"/>
          <w:szCs w:val="22"/>
        </w:rPr>
        <w:t>traditional backgrounds, can a</w:t>
      </w:r>
      <w:r w:rsidR="0089219E" w:rsidRPr="000330E5">
        <w:rPr>
          <w:rFonts w:ascii="Palatino Linotype" w:hAnsi="Palatino Linotype" w:cs="Times New Roman"/>
          <w:sz w:val="22"/>
          <w:szCs w:val="22"/>
        </w:rPr>
        <w:t>ffect the transition and therefore the student experience and retention rates.</w:t>
      </w:r>
      <w:r w:rsidR="0075159C" w:rsidRPr="000330E5">
        <w:rPr>
          <w:rFonts w:ascii="Palatino Linotype" w:hAnsi="Palatino Linotype" w:cs="Times New Roman"/>
          <w:sz w:val="22"/>
          <w:szCs w:val="22"/>
        </w:rPr>
        <w:t xml:space="preserve"> Other influences can include</w:t>
      </w:r>
      <w:r w:rsidR="0089219E" w:rsidRPr="000330E5">
        <w:rPr>
          <w:rFonts w:ascii="Palatino Linotype" w:hAnsi="Palatino Linotype" w:cs="Times New Roman"/>
          <w:sz w:val="22"/>
          <w:szCs w:val="22"/>
        </w:rPr>
        <w:t xml:space="preserve"> </w:t>
      </w:r>
      <w:r w:rsidRPr="000330E5">
        <w:rPr>
          <w:rFonts w:ascii="Palatino Linotype" w:hAnsi="Palatino Linotype" w:cs="Times New Roman"/>
          <w:sz w:val="22"/>
          <w:szCs w:val="22"/>
        </w:rPr>
        <w:t>family background, peer group, socioeconomic status and academic preparation.</w:t>
      </w:r>
      <w:r w:rsidRPr="000330E5">
        <w:rPr>
          <w:rStyle w:val="FootnoteReference"/>
          <w:rFonts w:ascii="Palatino Linotype" w:hAnsi="Palatino Linotype" w:cs="Times New Roman"/>
          <w:sz w:val="22"/>
          <w:szCs w:val="22"/>
        </w:rPr>
        <w:footnoteReference w:id="9"/>
      </w:r>
    </w:p>
    <w:p w14:paraId="284FC3C1" w14:textId="77777777" w:rsidR="0089219E" w:rsidRPr="000330E5" w:rsidRDefault="0089219E" w:rsidP="0072005E">
      <w:pPr>
        <w:jc w:val="both"/>
        <w:rPr>
          <w:rFonts w:ascii="Palatino Linotype" w:hAnsi="Palatino Linotype" w:cs="Times New Roman"/>
          <w:sz w:val="22"/>
          <w:szCs w:val="22"/>
        </w:rPr>
      </w:pPr>
    </w:p>
    <w:p w14:paraId="17159B3B" w14:textId="7C8683C0" w:rsidR="0089219E" w:rsidRPr="0071220C" w:rsidRDefault="0089219E" w:rsidP="0071220C">
      <w:pPr>
        <w:pStyle w:val="ListParagraph"/>
        <w:numPr>
          <w:ilvl w:val="0"/>
          <w:numId w:val="26"/>
        </w:numPr>
        <w:jc w:val="both"/>
        <w:rPr>
          <w:rFonts w:ascii="Palatino Linotype" w:hAnsi="Palatino Linotype" w:cs="Times New Roman"/>
          <w:i/>
          <w:sz w:val="22"/>
          <w:szCs w:val="22"/>
        </w:rPr>
      </w:pPr>
      <w:r w:rsidRPr="0071220C">
        <w:rPr>
          <w:rFonts w:ascii="Palatino Linotype" w:hAnsi="Palatino Linotype" w:cs="Times New Roman"/>
          <w:i/>
          <w:sz w:val="22"/>
          <w:szCs w:val="22"/>
        </w:rPr>
        <w:t xml:space="preserve">Purpose </w:t>
      </w:r>
      <w:r w:rsidR="0071220C" w:rsidRPr="0071220C">
        <w:rPr>
          <w:rFonts w:ascii="Palatino Linotype" w:hAnsi="Palatino Linotype" w:cs="Times New Roman"/>
          <w:i/>
          <w:sz w:val="22"/>
          <w:szCs w:val="22"/>
        </w:rPr>
        <w:t xml:space="preserve">of the Policy </w:t>
      </w:r>
    </w:p>
    <w:p w14:paraId="32F0F14A" w14:textId="3CB601CC" w:rsidR="0089219E" w:rsidRPr="000330E5" w:rsidRDefault="00174F0C" w:rsidP="00174F0C">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A First Year Success and Retention P</w:t>
      </w:r>
      <w:r w:rsidR="00B40DFC" w:rsidRPr="000330E5">
        <w:rPr>
          <w:rFonts w:ascii="Palatino Linotype" w:hAnsi="Palatino Linotype" w:cs="Times New Roman"/>
          <w:sz w:val="22"/>
          <w:szCs w:val="22"/>
        </w:rPr>
        <w:t>olicy is an identified initiative</w:t>
      </w:r>
      <w:r w:rsidRPr="000330E5">
        <w:rPr>
          <w:rFonts w:ascii="Palatino Linotype" w:hAnsi="Palatino Linotype" w:cs="Times New Roman"/>
          <w:sz w:val="22"/>
          <w:szCs w:val="22"/>
        </w:rPr>
        <w:t xml:space="preserve"> of the Strategic Plan and a response to recent Quality Assurance Reviews. It aligns with the vision and mission statement of the </w:t>
      </w:r>
      <w:r w:rsidR="0089219E" w:rsidRPr="000330E5">
        <w:rPr>
          <w:rFonts w:ascii="Palatino Linotype" w:hAnsi="Palatino Linotype" w:cs="Times New Roman"/>
          <w:sz w:val="22"/>
          <w:szCs w:val="22"/>
        </w:rPr>
        <w:t xml:space="preserve">Faculty of Theology. </w:t>
      </w:r>
    </w:p>
    <w:p w14:paraId="0B94DC4C" w14:textId="07BD976F" w:rsidR="001A4C07" w:rsidRPr="000330E5" w:rsidRDefault="001A4C07" w:rsidP="001A4C07">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ultimate goal of a Success and Retention policy is to improve the higher educational experience for everyone. Protecting the higher standards of education at St Patrick’s College is vital and a strong success and retention policy among first years will continue to protect and uphold these standards.  </w:t>
      </w:r>
    </w:p>
    <w:p w14:paraId="0F672D35" w14:textId="77777777" w:rsidR="001A4C07" w:rsidRPr="000330E5" w:rsidRDefault="00174F0C" w:rsidP="001B5035">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By addressing this issue, the Faculty is seeking to</w:t>
      </w:r>
      <w:r w:rsidR="0089219E" w:rsidRPr="000330E5">
        <w:rPr>
          <w:rFonts w:ascii="Palatino Linotype" w:hAnsi="Palatino Linotype" w:cs="Times New Roman"/>
          <w:sz w:val="22"/>
          <w:szCs w:val="22"/>
        </w:rPr>
        <w:t xml:space="preserve"> en</w:t>
      </w:r>
      <w:r w:rsidRPr="000330E5">
        <w:rPr>
          <w:rFonts w:ascii="Palatino Linotype" w:hAnsi="Palatino Linotype" w:cs="Times New Roman"/>
          <w:sz w:val="22"/>
          <w:szCs w:val="22"/>
        </w:rPr>
        <w:t xml:space="preserve">able </w:t>
      </w:r>
      <w:r w:rsidR="0089219E" w:rsidRPr="000330E5">
        <w:rPr>
          <w:rFonts w:ascii="Palatino Linotype" w:hAnsi="Palatino Linotype" w:cs="Times New Roman"/>
          <w:sz w:val="22"/>
          <w:szCs w:val="22"/>
        </w:rPr>
        <w:t>a positive experience for all studen</w:t>
      </w:r>
      <w:r w:rsidRPr="000330E5">
        <w:rPr>
          <w:rFonts w:ascii="Palatino Linotype" w:hAnsi="Palatino Linotype" w:cs="Times New Roman"/>
          <w:sz w:val="22"/>
          <w:szCs w:val="22"/>
        </w:rPr>
        <w:t>ts, enhance the reputation of the College, and be effective in the use of limited resources.</w:t>
      </w:r>
      <w:r w:rsidR="001B5035" w:rsidRPr="000330E5">
        <w:rPr>
          <w:rFonts w:ascii="Palatino Linotype" w:hAnsi="Palatino Linotype" w:cs="Times New Roman"/>
          <w:sz w:val="22"/>
          <w:szCs w:val="22"/>
        </w:rPr>
        <w:t xml:space="preserve"> </w:t>
      </w:r>
    </w:p>
    <w:p w14:paraId="7B0EF8D3" w14:textId="0CE4235C" w:rsidR="001B5035" w:rsidRPr="000330E5" w:rsidRDefault="001A4C07" w:rsidP="001B5035">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 xml:space="preserve">A coherent strategy recognises that this issue is multi-faceted, involving the complete student experience and so requires the contribution of all the sections of the College in an integrated manner. </w:t>
      </w:r>
      <w:r w:rsidR="001B5035" w:rsidRPr="000330E5">
        <w:rPr>
          <w:rFonts w:ascii="Palatino Linotype" w:hAnsi="Palatino Linotype" w:cs="Times New Roman"/>
          <w:sz w:val="22"/>
          <w:szCs w:val="22"/>
        </w:rPr>
        <w:t>Initiatives, if they are to be successful, require the support of all staff</w:t>
      </w:r>
      <w:r w:rsidRPr="000330E5">
        <w:rPr>
          <w:rFonts w:ascii="Palatino Linotype" w:hAnsi="Palatino Linotype" w:cs="Times New Roman"/>
          <w:sz w:val="22"/>
          <w:szCs w:val="22"/>
        </w:rPr>
        <w:t xml:space="preserve">. In time, they will become another feature of the culture of the College. </w:t>
      </w:r>
    </w:p>
    <w:p w14:paraId="2BE29B57" w14:textId="77777777" w:rsidR="00320344" w:rsidRDefault="0089219E" w:rsidP="0072005E">
      <w:pPr>
        <w:jc w:val="both"/>
        <w:rPr>
          <w:rFonts w:ascii="Palatino Linotype" w:hAnsi="Palatino Linotype" w:cs="Times New Roman"/>
          <w:sz w:val="22"/>
          <w:szCs w:val="22"/>
        </w:rPr>
      </w:pPr>
      <w:r w:rsidRPr="000330E5">
        <w:rPr>
          <w:rFonts w:ascii="Palatino Linotype" w:hAnsi="Palatino Linotype" w:cs="Times New Roman"/>
          <w:sz w:val="22"/>
          <w:szCs w:val="22"/>
        </w:rPr>
        <w:tab/>
      </w:r>
      <w:r w:rsidR="001B5035" w:rsidRPr="000330E5">
        <w:rPr>
          <w:rFonts w:ascii="Palatino Linotype" w:hAnsi="Palatino Linotype" w:cs="Times New Roman"/>
          <w:sz w:val="22"/>
          <w:szCs w:val="22"/>
        </w:rPr>
        <w:t xml:space="preserve">A systematic and comprehensive set of initiatives should lead to an increase in the annual retention rates and a percentage increase in graduation rates. For a small institution as ours, this is not to be underestimated.  </w:t>
      </w:r>
    </w:p>
    <w:p w14:paraId="7F4264DF" w14:textId="77777777" w:rsidR="00941FC4" w:rsidRDefault="00941FC4" w:rsidP="00941FC4">
      <w:pPr>
        <w:rPr>
          <w:rFonts w:ascii="Palatino Linotype" w:hAnsi="Palatino Linotype" w:cs="Times New Roman"/>
          <w:sz w:val="22"/>
          <w:szCs w:val="22"/>
        </w:rPr>
      </w:pPr>
    </w:p>
    <w:p w14:paraId="263540F3" w14:textId="42CC9EEC" w:rsidR="00E15086" w:rsidRPr="0071220C" w:rsidRDefault="00E15086" w:rsidP="0071220C">
      <w:pPr>
        <w:pStyle w:val="ListParagraph"/>
        <w:numPr>
          <w:ilvl w:val="0"/>
          <w:numId w:val="26"/>
        </w:numPr>
        <w:rPr>
          <w:rFonts w:ascii="Palatino Linotype" w:hAnsi="Palatino Linotype" w:cs="Times New Roman"/>
          <w:sz w:val="22"/>
          <w:szCs w:val="22"/>
        </w:rPr>
      </w:pPr>
      <w:r w:rsidRPr="0071220C">
        <w:rPr>
          <w:rFonts w:ascii="Palatino Linotype" w:hAnsi="Palatino Linotype" w:cs="Times New Roman"/>
          <w:i/>
          <w:sz w:val="22"/>
          <w:szCs w:val="22"/>
        </w:rPr>
        <w:t xml:space="preserve">Principles </w:t>
      </w:r>
      <w:r w:rsidR="0071220C" w:rsidRPr="0071220C">
        <w:rPr>
          <w:rFonts w:ascii="Palatino Linotype" w:hAnsi="Palatino Linotype" w:cs="Times New Roman"/>
          <w:i/>
          <w:sz w:val="22"/>
          <w:szCs w:val="22"/>
        </w:rPr>
        <w:t xml:space="preserve">to Inform Action </w:t>
      </w:r>
    </w:p>
    <w:p w14:paraId="475CBC5E" w14:textId="13FF8B1F" w:rsidR="00E15086" w:rsidRPr="000330E5" w:rsidRDefault="00E15086" w:rsidP="0072005E">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Future strategies arising out of this document will be informed by the following principles: </w:t>
      </w:r>
    </w:p>
    <w:p w14:paraId="64098457" w14:textId="4BFDFCEE" w:rsidR="00E15086" w:rsidRPr="000330E5" w:rsidRDefault="00E15086"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Supporting the conditions that encourage retention is an integral element of the responsibility of the Pontifical University as a highe</w:t>
      </w:r>
      <w:r w:rsidR="00D52C3C" w:rsidRPr="000330E5">
        <w:rPr>
          <w:rFonts w:ascii="Palatino Linotype" w:hAnsi="Palatino Linotype" w:cs="Times New Roman"/>
          <w:sz w:val="22"/>
          <w:szCs w:val="22"/>
        </w:rPr>
        <w:t>r education provider</w:t>
      </w:r>
    </w:p>
    <w:p w14:paraId="482E919D" w14:textId="3956C6BA" w:rsidR="005F37B0" w:rsidRPr="000330E5" w:rsidRDefault="005F37B0"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Addressing issues of retention is multifaceted and therefore </w:t>
      </w:r>
      <w:r w:rsidR="00D52C3C" w:rsidRPr="000330E5">
        <w:rPr>
          <w:rFonts w:ascii="Palatino Linotype" w:hAnsi="Palatino Linotype" w:cs="Times New Roman"/>
          <w:sz w:val="22"/>
          <w:szCs w:val="22"/>
        </w:rPr>
        <w:t>must account for a number of issues</w:t>
      </w:r>
    </w:p>
    <w:p w14:paraId="532F37D8" w14:textId="65787545" w:rsidR="00E15086" w:rsidRPr="000330E5" w:rsidRDefault="00E15086"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Retention is t</w:t>
      </w:r>
      <w:r w:rsidR="00D52C3C" w:rsidRPr="000330E5">
        <w:rPr>
          <w:rFonts w:ascii="Palatino Linotype" w:hAnsi="Palatino Linotype" w:cs="Times New Roman"/>
          <w:sz w:val="22"/>
          <w:szCs w:val="22"/>
        </w:rPr>
        <w:t>he responsibility of all staff</w:t>
      </w:r>
    </w:p>
    <w:p w14:paraId="3A523F2D" w14:textId="77777777" w:rsidR="006257B4" w:rsidRPr="000330E5" w:rsidRDefault="005F37B0"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Particular focus will be paid to first years</w:t>
      </w:r>
    </w:p>
    <w:p w14:paraId="05AFDD0C" w14:textId="3F318EBC" w:rsidR="005F37B0" w:rsidRPr="000330E5" w:rsidRDefault="006257B4"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Retention should not be at the price of lowering academic standards among students </w:t>
      </w:r>
    </w:p>
    <w:p w14:paraId="58095DC9" w14:textId="1CF0D71E" w:rsidR="00E15086" w:rsidRPr="000330E5" w:rsidRDefault="0075159C"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Focused decisions are to be</w:t>
      </w:r>
      <w:r w:rsidR="005F37B0" w:rsidRPr="000330E5">
        <w:rPr>
          <w:rFonts w:ascii="Palatino Linotype" w:hAnsi="Palatino Linotype" w:cs="Times New Roman"/>
          <w:sz w:val="22"/>
          <w:szCs w:val="22"/>
        </w:rPr>
        <w:t xml:space="preserve"> made in the context of on-going evidence gathering. </w:t>
      </w:r>
    </w:p>
    <w:p w14:paraId="35EE24CF" w14:textId="70E1B34B" w:rsidR="00E15086" w:rsidRPr="000330E5" w:rsidRDefault="005F37B0"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Experiences – positive and negative – should be </w:t>
      </w:r>
      <w:r w:rsidR="0075159C" w:rsidRPr="000330E5">
        <w:rPr>
          <w:rFonts w:ascii="Palatino Linotype" w:hAnsi="Palatino Linotype" w:cs="Times New Roman"/>
          <w:sz w:val="22"/>
          <w:szCs w:val="22"/>
        </w:rPr>
        <w:t xml:space="preserve">listened to </w:t>
      </w:r>
      <w:r w:rsidRPr="000330E5">
        <w:rPr>
          <w:rFonts w:ascii="Palatino Linotype" w:hAnsi="Palatino Linotype" w:cs="Times New Roman"/>
          <w:sz w:val="22"/>
          <w:szCs w:val="22"/>
        </w:rPr>
        <w:t xml:space="preserve">within a supportive </w:t>
      </w:r>
      <w:r w:rsidR="0075159C" w:rsidRPr="000330E5">
        <w:rPr>
          <w:rFonts w:ascii="Palatino Linotype" w:hAnsi="Palatino Linotype" w:cs="Times New Roman"/>
          <w:sz w:val="22"/>
          <w:szCs w:val="22"/>
        </w:rPr>
        <w:t>context and at regular periods</w:t>
      </w:r>
    </w:p>
    <w:p w14:paraId="0C06D8E4" w14:textId="0DA7C6FE" w:rsidR="00E15086" w:rsidRPr="000330E5" w:rsidRDefault="005F37B0" w:rsidP="0072005E">
      <w:pPr>
        <w:pStyle w:val="ListParagraph"/>
        <w:numPr>
          <w:ilvl w:val="0"/>
          <w:numId w:val="8"/>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Appropriate resources should be allocated to the support of initiatives where necessary.   </w:t>
      </w:r>
    </w:p>
    <w:p w14:paraId="7DBB6570" w14:textId="77777777" w:rsidR="00E15086" w:rsidRPr="000330E5" w:rsidRDefault="00E15086" w:rsidP="0072005E">
      <w:pPr>
        <w:jc w:val="both"/>
        <w:rPr>
          <w:rFonts w:ascii="Palatino Linotype" w:hAnsi="Palatino Linotype" w:cs="Times New Roman"/>
          <w:sz w:val="22"/>
          <w:szCs w:val="22"/>
        </w:rPr>
      </w:pPr>
    </w:p>
    <w:p w14:paraId="28F35700" w14:textId="48DDF027" w:rsidR="008B5F3A" w:rsidRPr="0071220C" w:rsidRDefault="0071220C" w:rsidP="0071220C">
      <w:pPr>
        <w:pStyle w:val="ListParagraph"/>
        <w:numPr>
          <w:ilvl w:val="0"/>
          <w:numId w:val="26"/>
        </w:numPr>
        <w:jc w:val="both"/>
        <w:rPr>
          <w:rFonts w:ascii="Palatino Linotype" w:hAnsi="Palatino Linotype" w:cs="Times New Roman"/>
          <w:i/>
          <w:sz w:val="22"/>
          <w:szCs w:val="22"/>
        </w:rPr>
      </w:pPr>
      <w:r w:rsidRPr="0071220C">
        <w:rPr>
          <w:rFonts w:ascii="Palatino Linotype" w:hAnsi="Palatino Linotype" w:cs="Times New Roman"/>
          <w:i/>
          <w:sz w:val="22"/>
          <w:szCs w:val="22"/>
        </w:rPr>
        <w:t xml:space="preserve"> </w:t>
      </w:r>
      <w:r w:rsidR="004F3590" w:rsidRPr="0071220C">
        <w:rPr>
          <w:rFonts w:ascii="Palatino Linotype" w:hAnsi="Palatino Linotype" w:cs="Times New Roman"/>
          <w:i/>
          <w:sz w:val="22"/>
          <w:szCs w:val="22"/>
        </w:rPr>
        <w:t>Towards A</w:t>
      </w:r>
      <w:r w:rsidR="003150F2" w:rsidRPr="0071220C">
        <w:rPr>
          <w:rFonts w:ascii="Palatino Linotype" w:hAnsi="Palatino Linotype" w:cs="Times New Roman"/>
          <w:i/>
          <w:sz w:val="22"/>
          <w:szCs w:val="22"/>
        </w:rPr>
        <w:t xml:space="preserve"> </w:t>
      </w:r>
      <w:r w:rsidR="004F3590" w:rsidRPr="0071220C">
        <w:rPr>
          <w:rFonts w:ascii="Palatino Linotype" w:hAnsi="Palatino Linotype" w:cs="Times New Roman"/>
          <w:i/>
          <w:sz w:val="22"/>
          <w:szCs w:val="22"/>
        </w:rPr>
        <w:t>Strategy</w:t>
      </w:r>
    </w:p>
    <w:p w14:paraId="1444BC75" w14:textId="27FD5F46" w:rsidR="00914010" w:rsidRPr="000330E5" w:rsidRDefault="00306EDF" w:rsidP="00306EDF">
      <w:pPr>
        <w:jc w:val="both"/>
        <w:rPr>
          <w:rFonts w:ascii="Palatino Linotype" w:hAnsi="Palatino Linotype" w:cs="Times New Roman"/>
          <w:sz w:val="22"/>
          <w:szCs w:val="22"/>
        </w:rPr>
      </w:pPr>
      <w:r w:rsidRPr="000330E5">
        <w:rPr>
          <w:rFonts w:ascii="Palatino Linotype" w:hAnsi="Palatino Linotype" w:cs="Times New Roman"/>
          <w:sz w:val="22"/>
          <w:szCs w:val="22"/>
        </w:rPr>
        <w:t>Cook, Ruston and McCormick identify four areas in which potential strategies could be imagined:</w:t>
      </w:r>
      <w:r w:rsidRPr="000330E5">
        <w:rPr>
          <w:rStyle w:val="FootnoteReference"/>
          <w:rFonts w:ascii="Palatino Linotype" w:hAnsi="Palatino Linotype" w:cs="Times New Roman"/>
          <w:sz w:val="22"/>
          <w:szCs w:val="22"/>
        </w:rPr>
        <w:footnoteReference w:id="10"/>
      </w:r>
      <w:r w:rsidRPr="000330E5">
        <w:rPr>
          <w:rFonts w:ascii="Palatino Linotype" w:hAnsi="Palatino Linotype" w:cs="Times New Roman"/>
          <w:sz w:val="22"/>
          <w:szCs w:val="22"/>
        </w:rPr>
        <w:t xml:space="preserve">  </w:t>
      </w:r>
    </w:p>
    <w:p w14:paraId="468ECDF0" w14:textId="30F3DF93" w:rsidR="003150F2" w:rsidRPr="000330E5" w:rsidRDefault="00306EDF" w:rsidP="000510C4">
      <w:pPr>
        <w:pStyle w:val="ListParagraph"/>
        <w:numPr>
          <w:ilvl w:val="0"/>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P</w:t>
      </w:r>
      <w:r w:rsidR="003150F2" w:rsidRPr="000330E5">
        <w:rPr>
          <w:rFonts w:ascii="Palatino Linotype" w:hAnsi="Palatino Linotype" w:cs="Times New Roman"/>
          <w:sz w:val="22"/>
          <w:szCs w:val="22"/>
        </w:rPr>
        <w:t>rior to entry</w:t>
      </w:r>
    </w:p>
    <w:p w14:paraId="65ADD024" w14:textId="2A01EB80" w:rsidR="003150F2" w:rsidRPr="000330E5" w:rsidRDefault="00A92AA7" w:rsidP="00A92AA7">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Students should have realistic expectations. Therefore information should be accurate and realistic about the level of commitment (time and financial). Wrong programme choice is a significant reason for first year students leaving.  </w:t>
      </w:r>
    </w:p>
    <w:p w14:paraId="5816D1EA" w14:textId="15D8A888" w:rsidR="003150F2" w:rsidRPr="000330E5" w:rsidRDefault="003150F2" w:rsidP="003150F2">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Collaborations with s</w:t>
      </w:r>
      <w:r w:rsidR="006F5735" w:rsidRPr="000330E5">
        <w:rPr>
          <w:rFonts w:ascii="Palatino Linotype" w:hAnsi="Palatino Linotype" w:cs="Times New Roman"/>
          <w:sz w:val="22"/>
          <w:szCs w:val="22"/>
        </w:rPr>
        <w:t xml:space="preserve">econd level education providers and other </w:t>
      </w:r>
      <w:r w:rsidR="00CB4250" w:rsidRPr="000330E5">
        <w:rPr>
          <w:rFonts w:ascii="Palatino Linotype" w:hAnsi="Palatino Linotype" w:cs="Times New Roman"/>
          <w:sz w:val="22"/>
          <w:szCs w:val="22"/>
        </w:rPr>
        <w:t>institutions may be explored to ensure smooth transition</w:t>
      </w:r>
    </w:p>
    <w:p w14:paraId="48C26BC9" w14:textId="182BD121" w:rsidR="003150F2" w:rsidRPr="000330E5" w:rsidRDefault="00A92AA7" w:rsidP="003150F2">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F</w:t>
      </w:r>
      <w:r w:rsidR="003150F2" w:rsidRPr="000330E5">
        <w:rPr>
          <w:rFonts w:ascii="Palatino Linotype" w:hAnsi="Palatino Linotype" w:cs="Times New Roman"/>
          <w:sz w:val="22"/>
          <w:szCs w:val="22"/>
        </w:rPr>
        <w:t xml:space="preserve">oundation </w:t>
      </w:r>
      <w:r w:rsidRPr="000330E5">
        <w:rPr>
          <w:rFonts w:ascii="Palatino Linotype" w:hAnsi="Palatino Linotype" w:cs="Times New Roman"/>
          <w:sz w:val="22"/>
          <w:szCs w:val="22"/>
        </w:rPr>
        <w:t xml:space="preserve">and qualification </w:t>
      </w:r>
      <w:r w:rsidR="003150F2" w:rsidRPr="000330E5">
        <w:rPr>
          <w:rFonts w:ascii="Palatino Linotype" w:hAnsi="Palatino Linotype" w:cs="Times New Roman"/>
          <w:sz w:val="22"/>
          <w:szCs w:val="22"/>
        </w:rPr>
        <w:t>programme</w:t>
      </w:r>
      <w:r w:rsidRPr="000330E5">
        <w:rPr>
          <w:rFonts w:ascii="Palatino Linotype" w:hAnsi="Palatino Linotype" w:cs="Times New Roman"/>
          <w:sz w:val="22"/>
          <w:szCs w:val="22"/>
        </w:rPr>
        <w:t>s should be considered to provide a stepping stone to higher education for prospective students</w:t>
      </w:r>
    </w:p>
    <w:p w14:paraId="6A9839CE" w14:textId="12DB03AC" w:rsidR="00FA2316" w:rsidRPr="000330E5" w:rsidRDefault="00A92AA7" w:rsidP="00FA2316">
      <w:pPr>
        <w:pStyle w:val="ListParagraph"/>
        <w:numPr>
          <w:ilvl w:val="0"/>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T</w:t>
      </w:r>
      <w:r w:rsidR="00C3096B" w:rsidRPr="000330E5">
        <w:rPr>
          <w:rFonts w:ascii="Palatino Linotype" w:hAnsi="Palatino Linotype" w:cs="Times New Roman"/>
          <w:sz w:val="22"/>
          <w:szCs w:val="22"/>
        </w:rPr>
        <w:t xml:space="preserve">ransition (induction) </w:t>
      </w:r>
      <w:r w:rsidR="00016B47" w:rsidRPr="000330E5">
        <w:rPr>
          <w:rFonts w:ascii="Palatino Linotype" w:hAnsi="Palatino Linotype" w:cs="Times New Roman"/>
          <w:sz w:val="22"/>
          <w:szCs w:val="22"/>
        </w:rPr>
        <w:t>into First Year</w:t>
      </w:r>
    </w:p>
    <w:p w14:paraId="52999869" w14:textId="77777777" w:rsidR="00CB4250" w:rsidRPr="000330E5" w:rsidRDefault="00FA2316"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All students should receive a comprehensive induction</w:t>
      </w:r>
      <w:r w:rsidR="00A92AA7" w:rsidRPr="000330E5">
        <w:rPr>
          <w:rFonts w:ascii="Palatino Linotype" w:hAnsi="Palatino Linotype" w:cs="Times New Roman"/>
          <w:sz w:val="22"/>
          <w:szCs w:val="22"/>
        </w:rPr>
        <w:t xml:space="preserve"> to the institution and to expectations of the programme. </w:t>
      </w:r>
    </w:p>
    <w:p w14:paraId="4D852377" w14:textId="6978D579" w:rsidR="00A92AA7" w:rsidRPr="000330E5" w:rsidRDefault="00A92AA7"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Approachability and a sense of belonging are common features of successful learning environments. Therefore, induction should have a</w:t>
      </w:r>
      <w:r w:rsidR="00FA2316" w:rsidRPr="000330E5">
        <w:rPr>
          <w:rFonts w:ascii="Palatino Linotype" w:hAnsi="Palatino Linotype" w:cs="Times New Roman"/>
          <w:sz w:val="22"/>
          <w:szCs w:val="22"/>
        </w:rPr>
        <w:t xml:space="preserve"> particular focus on getting to know the environment, other students and the staff of the </w:t>
      </w:r>
      <w:r w:rsidRPr="000330E5">
        <w:rPr>
          <w:rFonts w:ascii="Palatino Linotype" w:hAnsi="Palatino Linotype" w:cs="Times New Roman"/>
          <w:sz w:val="22"/>
          <w:szCs w:val="22"/>
        </w:rPr>
        <w:t>College.</w:t>
      </w:r>
      <w:r w:rsidR="00FA2316" w:rsidRPr="000330E5">
        <w:rPr>
          <w:rFonts w:ascii="Palatino Linotype" w:hAnsi="Palatino Linotype" w:cs="Times New Roman"/>
          <w:sz w:val="22"/>
          <w:szCs w:val="22"/>
        </w:rPr>
        <w:t xml:space="preserve"> </w:t>
      </w:r>
    </w:p>
    <w:p w14:paraId="54BE0F1A" w14:textId="27A31218" w:rsidR="00A92AA7" w:rsidRPr="000330E5" w:rsidRDefault="00A92AA7" w:rsidP="00A92AA7">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Registration and all such related student services should take place within the first week of entry – at latest within one month – so that all students can gain access to services at a timely basis. </w:t>
      </w:r>
    </w:p>
    <w:p w14:paraId="6AEAF35B" w14:textId="77777777" w:rsidR="00A92AA7" w:rsidRPr="000330E5" w:rsidRDefault="00A92AA7"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Transition should be seen as a longer process than ‘orientation/induction.’ </w:t>
      </w:r>
    </w:p>
    <w:p w14:paraId="453EFD1D" w14:textId="3CAD6B56" w:rsidR="00FA2316" w:rsidRPr="000330E5" w:rsidRDefault="00F94B28" w:rsidP="00A92AA7">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Mentoring systems when done well have proven to be effect</w:t>
      </w:r>
      <w:r w:rsidR="007B40E8" w:rsidRPr="000330E5">
        <w:rPr>
          <w:rFonts w:ascii="Palatino Linotype" w:hAnsi="Palatino Linotype" w:cs="Times New Roman"/>
          <w:sz w:val="22"/>
          <w:szCs w:val="22"/>
        </w:rPr>
        <w:t>ive. Mentors may be academic-to-</w:t>
      </w:r>
      <w:r w:rsidRPr="000330E5">
        <w:rPr>
          <w:rFonts w:ascii="Palatino Linotype" w:hAnsi="Palatino Linotype" w:cs="Times New Roman"/>
          <w:sz w:val="22"/>
          <w:szCs w:val="22"/>
        </w:rPr>
        <w:t xml:space="preserve">student or peer-to-peer. Priority then should be given to the first semester, allowing students to raise issues of concern. </w:t>
      </w:r>
      <w:r w:rsidR="00FA2316" w:rsidRPr="000330E5">
        <w:rPr>
          <w:rFonts w:ascii="Palatino Linotype" w:hAnsi="Palatino Linotype" w:cs="Times New Roman"/>
          <w:sz w:val="22"/>
          <w:szCs w:val="22"/>
        </w:rPr>
        <w:t xml:space="preserve">In </w:t>
      </w:r>
      <w:r w:rsidRPr="000330E5">
        <w:rPr>
          <w:rFonts w:ascii="Palatino Linotype" w:hAnsi="Palatino Linotype" w:cs="Times New Roman"/>
          <w:sz w:val="22"/>
          <w:szCs w:val="22"/>
        </w:rPr>
        <w:t xml:space="preserve">facing more difficult </w:t>
      </w:r>
      <w:r w:rsidR="00FA2316" w:rsidRPr="000330E5">
        <w:rPr>
          <w:rFonts w:ascii="Palatino Linotype" w:hAnsi="Palatino Linotype" w:cs="Times New Roman"/>
          <w:sz w:val="22"/>
          <w:szCs w:val="22"/>
        </w:rPr>
        <w:t>situations</w:t>
      </w:r>
      <w:r w:rsidRPr="000330E5">
        <w:rPr>
          <w:rFonts w:ascii="Palatino Linotype" w:hAnsi="Palatino Linotype" w:cs="Times New Roman"/>
          <w:sz w:val="22"/>
          <w:szCs w:val="22"/>
        </w:rPr>
        <w:t xml:space="preserve">, students should be guided to appropriate campus student services.  </w:t>
      </w:r>
    </w:p>
    <w:p w14:paraId="31E000B4" w14:textId="536CC5A8" w:rsidR="00FA2316" w:rsidRPr="000330E5" w:rsidRDefault="00A92AA7" w:rsidP="00FA2316">
      <w:pPr>
        <w:pStyle w:val="ListParagraph"/>
        <w:numPr>
          <w:ilvl w:val="0"/>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Module Delivery and Academic skills </w:t>
      </w:r>
    </w:p>
    <w:p w14:paraId="202DAB1E" w14:textId="36ADCC40" w:rsidR="00FA2316" w:rsidRPr="000330E5" w:rsidRDefault="00FA2316"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w:t>
      </w:r>
      <w:r w:rsidR="005412DB" w:rsidRPr="000330E5">
        <w:rPr>
          <w:rFonts w:ascii="Palatino Linotype" w:hAnsi="Palatino Linotype" w:cs="Times New Roman"/>
          <w:sz w:val="22"/>
          <w:szCs w:val="22"/>
        </w:rPr>
        <w:t>first year curriculum should be relevant and</w:t>
      </w:r>
      <w:r w:rsidRPr="000330E5">
        <w:rPr>
          <w:rFonts w:ascii="Palatino Linotype" w:hAnsi="Palatino Linotype" w:cs="Times New Roman"/>
          <w:sz w:val="22"/>
          <w:szCs w:val="22"/>
        </w:rPr>
        <w:t xml:space="preserve"> appropriate </w:t>
      </w:r>
      <w:r w:rsidR="005412DB" w:rsidRPr="000330E5">
        <w:rPr>
          <w:rFonts w:ascii="Palatino Linotype" w:hAnsi="Palatino Linotype" w:cs="Times New Roman"/>
          <w:sz w:val="22"/>
          <w:szCs w:val="22"/>
        </w:rPr>
        <w:t xml:space="preserve">and reviewed regularly. </w:t>
      </w:r>
      <w:r w:rsidRPr="000330E5">
        <w:rPr>
          <w:rFonts w:ascii="Palatino Linotype" w:hAnsi="Palatino Linotype" w:cs="Times New Roman"/>
          <w:sz w:val="22"/>
          <w:szCs w:val="22"/>
        </w:rPr>
        <w:t xml:space="preserve">Excellence in delivery </w:t>
      </w:r>
      <w:r w:rsidR="005412DB" w:rsidRPr="000330E5">
        <w:rPr>
          <w:rFonts w:ascii="Palatino Linotype" w:hAnsi="Palatino Linotype" w:cs="Times New Roman"/>
          <w:sz w:val="22"/>
          <w:szCs w:val="22"/>
        </w:rPr>
        <w:t>at this stage should be prized.</w:t>
      </w:r>
    </w:p>
    <w:p w14:paraId="40A92277" w14:textId="77777777" w:rsidR="005412DB" w:rsidRPr="000330E5" w:rsidRDefault="00FA2316"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Teaching and learning should </w:t>
      </w:r>
      <w:r w:rsidR="005412DB" w:rsidRPr="000330E5">
        <w:rPr>
          <w:rFonts w:ascii="Palatino Linotype" w:hAnsi="Palatino Linotype" w:cs="Times New Roman"/>
          <w:sz w:val="22"/>
          <w:szCs w:val="22"/>
        </w:rPr>
        <w:t xml:space="preserve">foster student engagement. Obviously, </w:t>
      </w:r>
      <w:r w:rsidRPr="000330E5">
        <w:rPr>
          <w:rFonts w:ascii="Palatino Linotype" w:hAnsi="Palatino Linotype" w:cs="Times New Roman"/>
          <w:sz w:val="22"/>
          <w:szCs w:val="22"/>
        </w:rPr>
        <w:t xml:space="preserve">students </w:t>
      </w:r>
      <w:r w:rsidR="005412DB" w:rsidRPr="000330E5">
        <w:rPr>
          <w:rFonts w:ascii="Palatino Linotype" w:hAnsi="Palatino Linotype" w:cs="Times New Roman"/>
          <w:sz w:val="22"/>
          <w:szCs w:val="22"/>
        </w:rPr>
        <w:t xml:space="preserve">should put in time and effort. Research shows that it flourishes within a culture that fosters active involvement – within the classroom and on campus.  </w:t>
      </w:r>
    </w:p>
    <w:p w14:paraId="1D25DEFA" w14:textId="507F46C2" w:rsidR="00FA2316" w:rsidRPr="000330E5" w:rsidRDefault="00FA2316"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High </w:t>
      </w:r>
      <w:r w:rsidR="005412DB" w:rsidRPr="000330E5">
        <w:rPr>
          <w:rFonts w:ascii="Palatino Linotype" w:hAnsi="Palatino Linotype" w:cs="Times New Roman"/>
          <w:sz w:val="22"/>
          <w:szCs w:val="22"/>
        </w:rPr>
        <w:t>expectation in delivery can foster the personal commitment of students.</w:t>
      </w:r>
    </w:p>
    <w:p w14:paraId="6D5531EC" w14:textId="177EC106" w:rsidR="00FA2316" w:rsidRPr="000330E5" w:rsidRDefault="00FA2316"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Additional </w:t>
      </w:r>
      <w:r w:rsidR="005412DB" w:rsidRPr="000330E5">
        <w:rPr>
          <w:rFonts w:ascii="Palatino Linotype" w:hAnsi="Palatino Linotype" w:cs="Times New Roman"/>
          <w:sz w:val="22"/>
          <w:szCs w:val="22"/>
        </w:rPr>
        <w:t xml:space="preserve">support services for areas that are particularly challenging should be provided. </w:t>
      </w:r>
    </w:p>
    <w:p w14:paraId="1A0FF1DB" w14:textId="2C981A37" w:rsidR="00FA2316" w:rsidRPr="000330E5" w:rsidRDefault="005412DB"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A culture that </w:t>
      </w:r>
      <w:r w:rsidR="00753F05" w:rsidRPr="000330E5">
        <w:rPr>
          <w:rFonts w:ascii="Palatino Linotype" w:hAnsi="Palatino Linotype" w:cs="Times New Roman"/>
          <w:sz w:val="22"/>
          <w:szCs w:val="22"/>
        </w:rPr>
        <w:t xml:space="preserve">supports peer learning among students helps create a community of learning that models to first-years good practices.  </w:t>
      </w:r>
    </w:p>
    <w:p w14:paraId="39032ACE" w14:textId="6BFA4BC4" w:rsidR="00FA2316" w:rsidRPr="000330E5" w:rsidRDefault="00016B47" w:rsidP="00FA2316">
      <w:pPr>
        <w:pStyle w:val="ListParagraph"/>
        <w:numPr>
          <w:ilvl w:val="0"/>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Staff Development and Awareness</w:t>
      </w:r>
    </w:p>
    <w:p w14:paraId="691D5512" w14:textId="5AB44B16" w:rsidR="00FA2316" w:rsidRPr="000330E5" w:rsidRDefault="0084375A" w:rsidP="0084375A">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Often academic staff is the primary point of contact for students with the College. Staff should be aware of the variety of supports available to students across campus.  </w:t>
      </w:r>
    </w:p>
    <w:p w14:paraId="7C7806E0" w14:textId="693EC10C" w:rsidR="00FA2316" w:rsidRPr="000330E5" w:rsidRDefault="0084375A"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At risk or poorly performing students should be identified as soon as possible and </w:t>
      </w:r>
      <w:r w:rsidR="00C3096B" w:rsidRPr="000330E5">
        <w:rPr>
          <w:rFonts w:ascii="Palatino Linotype" w:hAnsi="Palatino Linotype" w:cs="Times New Roman"/>
          <w:sz w:val="22"/>
          <w:szCs w:val="22"/>
        </w:rPr>
        <w:t>the necessary supports put in place</w:t>
      </w:r>
      <w:r w:rsidRPr="000330E5">
        <w:rPr>
          <w:rFonts w:ascii="Palatino Linotype" w:hAnsi="Palatino Linotype" w:cs="Times New Roman"/>
          <w:sz w:val="22"/>
          <w:szCs w:val="22"/>
        </w:rPr>
        <w:t>.</w:t>
      </w:r>
    </w:p>
    <w:p w14:paraId="6EA12D24" w14:textId="3B594F19" w:rsidR="00FA2316" w:rsidRPr="000330E5" w:rsidRDefault="0084375A"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Students who withdraw from a programme should be facilitated in doing so in an informed manner. The College should note such reasons with appropriate documentation.  </w:t>
      </w:r>
    </w:p>
    <w:p w14:paraId="6F2E3081" w14:textId="2C2DD404" w:rsidR="00FA2316" w:rsidRPr="000330E5" w:rsidRDefault="00C3096B" w:rsidP="00FA2316">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Data collection, analysis, reporting and review of retention should occur </w:t>
      </w:r>
      <w:r w:rsidR="00505DF3" w:rsidRPr="000330E5">
        <w:rPr>
          <w:rFonts w:ascii="Palatino Linotype" w:hAnsi="Palatino Linotype" w:cs="Times New Roman"/>
          <w:sz w:val="22"/>
          <w:szCs w:val="22"/>
        </w:rPr>
        <w:t xml:space="preserve">regularly in order to identify patterns and put in place strategic response. </w:t>
      </w:r>
      <w:r w:rsidR="007B17B9" w:rsidRPr="000330E5">
        <w:rPr>
          <w:rFonts w:ascii="Palatino Linotype" w:hAnsi="Palatino Linotype" w:cs="Times New Roman"/>
          <w:sz w:val="22"/>
          <w:szCs w:val="22"/>
        </w:rPr>
        <w:t>The</w:t>
      </w:r>
      <w:r w:rsidR="00505DF3" w:rsidRPr="000330E5">
        <w:rPr>
          <w:rFonts w:ascii="Palatino Linotype" w:hAnsi="Palatino Linotype" w:cs="Times New Roman"/>
          <w:sz w:val="22"/>
          <w:szCs w:val="22"/>
        </w:rPr>
        <w:t xml:space="preserve"> Pontifical University </w:t>
      </w:r>
      <w:r w:rsidR="007B17B9" w:rsidRPr="000330E5">
        <w:rPr>
          <w:rFonts w:ascii="Palatino Linotype" w:hAnsi="Palatino Linotype" w:cs="Times New Roman"/>
          <w:sz w:val="22"/>
          <w:szCs w:val="22"/>
        </w:rPr>
        <w:t>Office</w:t>
      </w:r>
      <w:r w:rsidRPr="000330E5">
        <w:rPr>
          <w:rFonts w:ascii="Palatino Linotype" w:hAnsi="Palatino Linotype" w:cs="Times New Roman"/>
          <w:sz w:val="22"/>
          <w:szCs w:val="22"/>
        </w:rPr>
        <w:t xml:space="preserve"> will be responsible for this statistical compilation and </w:t>
      </w:r>
      <w:r w:rsidR="00505DF3" w:rsidRPr="000330E5">
        <w:rPr>
          <w:rFonts w:ascii="Palatino Linotype" w:hAnsi="Palatino Linotype" w:cs="Times New Roman"/>
          <w:sz w:val="22"/>
          <w:szCs w:val="22"/>
        </w:rPr>
        <w:t xml:space="preserve">the Undergraduate Board will be undertake the review. </w:t>
      </w:r>
    </w:p>
    <w:p w14:paraId="5A7A335C" w14:textId="359838B2" w:rsidR="00F075B9" w:rsidRPr="00AA046C" w:rsidRDefault="009B4154" w:rsidP="00AA046C">
      <w:pPr>
        <w:pStyle w:val="ListParagraph"/>
        <w:numPr>
          <w:ilvl w:val="1"/>
          <w:numId w:val="20"/>
        </w:numPr>
        <w:jc w:val="both"/>
        <w:rPr>
          <w:rFonts w:ascii="Palatino Linotype" w:hAnsi="Palatino Linotype" w:cs="Times New Roman"/>
          <w:sz w:val="22"/>
          <w:szCs w:val="22"/>
        </w:rPr>
      </w:pPr>
      <w:r w:rsidRPr="000330E5">
        <w:rPr>
          <w:rFonts w:ascii="Palatino Linotype" w:hAnsi="Palatino Linotype" w:cs="Times New Roman"/>
          <w:sz w:val="22"/>
          <w:szCs w:val="22"/>
        </w:rPr>
        <w:t>Effective</w:t>
      </w:r>
      <w:r w:rsidR="00C3096B" w:rsidRPr="000330E5">
        <w:rPr>
          <w:rFonts w:ascii="Palatino Linotype" w:hAnsi="Palatino Linotype" w:cs="Times New Roman"/>
          <w:sz w:val="22"/>
          <w:szCs w:val="22"/>
        </w:rPr>
        <w:t xml:space="preserve"> initiatives should be reviewed, amende</w:t>
      </w:r>
      <w:r w:rsidRPr="000330E5">
        <w:rPr>
          <w:rFonts w:ascii="Palatino Linotype" w:hAnsi="Palatino Linotype" w:cs="Times New Roman"/>
          <w:sz w:val="22"/>
          <w:szCs w:val="22"/>
        </w:rPr>
        <w:t xml:space="preserve">d and updated regularly and include all the relevant stakeholders. </w:t>
      </w:r>
    </w:p>
    <w:p w14:paraId="1D11478F" w14:textId="77777777" w:rsidR="00F075B9" w:rsidRDefault="00F075B9" w:rsidP="00F075B9">
      <w:pPr>
        <w:rPr>
          <w:rFonts w:ascii="Palatino Linotype" w:hAnsi="Palatino Linotype" w:cs="Times New Roman"/>
          <w:i/>
          <w:sz w:val="22"/>
          <w:szCs w:val="22"/>
        </w:rPr>
      </w:pPr>
    </w:p>
    <w:p w14:paraId="3AF30B72" w14:textId="77777777" w:rsidR="00F075B9" w:rsidRPr="00051FB4" w:rsidRDefault="00F075B9" w:rsidP="00F075B9">
      <w:pPr>
        <w:pStyle w:val="ListParagraph"/>
        <w:numPr>
          <w:ilvl w:val="0"/>
          <w:numId w:val="26"/>
        </w:numPr>
        <w:rPr>
          <w:rFonts w:ascii="Palatino Linotype" w:hAnsi="Palatino Linotype" w:cs="Times New Roman"/>
          <w:sz w:val="22"/>
          <w:szCs w:val="22"/>
        </w:rPr>
      </w:pPr>
      <w:r w:rsidRPr="00051FB4">
        <w:rPr>
          <w:rFonts w:ascii="Palatino Linotype" w:hAnsi="Palatino Linotype" w:cs="Times New Roman"/>
          <w:i/>
          <w:sz w:val="22"/>
          <w:szCs w:val="22"/>
        </w:rPr>
        <w:t xml:space="preserve">Potential Initiatives </w:t>
      </w:r>
    </w:p>
    <w:p w14:paraId="190AEDBB" w14:textId="77777777" w:rsidR="00F075B9" w:rsidRPr="000330E5" w:rsidRDefault="00F075B9" w:rsidP="00F075B9">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following initiatives have been proposed at the Undergraduate Board for further discussion (October/November, 2016): </w:t>
      </w:r>
    </w:p>
    <w:p w14:paraId="534EE631" w14:textId="77777777" w:rsidR="00F075B9" w:rsidRPr="000330E5" w:rsidRDefault="00F075B9" w:rsidP="00F075B9">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First year full time deliverers to coordinate academic initiatives as a team. The rationale is that they are best positioned to get to know the students themselves.</w:t>
      </w:r>
    </w:p>
    <w:p w14:paraId="14E1B5AD" w14:textId="77777777" w:rsidR="00F075B9" w:rsidRPr="000330E5" w:rsidRDefault="00F075B9" w:rsidP="00F075B9">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A system of mentoring to be undertaken by the full-time academic-staff who deliver first year modules. </w:t>
      </w:r>
    </w:p>
    <w:p w14:paraId="32037974" w14:textId="77777777" w:rsidR="00F075B9" w:rsidRPr="000330E5" w:rsidRDefault="00F075B9" w:rsidP="00F075B9">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Different Academic Skills will be given attention within each of the modules, building towards a more comprehensive set of skills. Such skills may include: footnoting, bibliography creation and research, avoiding plagiarism, presentation skills and so on.</w:t>
      </w:r>
      <w:r>
        <w:rPr>
          <w:rFonts w:ascii="Palatino Linotype" w:hAnsi="Palatino Linotype" w:cs="Times New Roman"/>
          <w:sz w:val="22"/>
          <w:szCs w:val="22"/>
        </w:rPr>
        <w:t xml:space="preserve"> (The Undergraduate Board will also address this element under a programme review.) </w:t>
      </w:r>
      <w:r w:rsidRPr="000330E5">
        <w:rPr>
          <w:rFonts w:ascii="Palatino Linotype" w:hAnsi="Palatino Linotype" w:cs="Times New Roman"/>
          <w:sz w:val="22"/>
          <w:szCs w:val="22"/>
        </w:rPr>
        <w:t xml:space="preserve"> </w:t>
      </w:r>
    </w:p>
    <w:p w14:paraId="4A57152E" w14:textId="77777777" w:rsidR="00F075B9" w:rsidRPr="000330E5" w:rsidRDefault="00F075B9" w:rsidP="00F075B9">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Identify graduate attributes that can be focused upon from the first year.   </w:t>
      </w:r>
    </w:p>
    <w:p w14:paraId="09D46ED7" w14:textId="77777777" w:rsidR="00F075B9" w:rsidRPr="000330E5" w:rsidRDefault="00F075B9" w:rsidP="00F075B9">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Consider inviting other members of the Faculty to deliver an input on a topic about which they are passionate in order to expand the experience of the students. They would take one hour and it would be within the general field of the module. </w:t>
      </w:r>
    </w:p>
    <w:p w14:paraId="436E0D47" w14:textId="575FB2B8" w:rsidR="00F075B9" w:rsidRPr="00690435" w:rsidRDefault="00F075B9" w:rsidP="00690435">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 xml:space="preserve">Review of the Orientation Week. </w:t>
      </w:r>
      <w:r w:rsidRPr="00690435">
        <w:rPr>
          <w:rFonts w:ascii="Palatino Linotype" w:hAnsi="Palatino Linotype" w:cs="Times New Roman"/>
          <w:sz w:val="22"/>
          <w:szCs w:val="22"/>
        </w:rPr>
        <w:t xml:space="preserve">Keeping the spirit of orientation and transition throughout the first half term. It was suggested to consider the programme undertaken at UL (see Appendix). Given the resources of the Faculty, it may be that only some of the suggestions inspired by the programme are practicable. </w:t>
      </w:r>
    </w:p>
    <w:p w14:paraId="70002AB7" w14:textId="77777777" w:rsidR="00F075B9" w:rsidRPr="000330E5" w:rsidRDefault="00F075B9" w:rsidP="00F075B9">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Consider ways that improve a sense of student belonging to our College. Are there ways to foster the social interaction (examples may include a pizza night, pub quiz</w:t>
      </w:r>
      <w:r>
        <w:rPr>
          <w:rFonts w:ascii="Palatino Linotype" w:hAnsi="Palatino Linotype" w:cs="Times New Roman"/>
          <w:sz w:val="22"/>
          <w:szCs w:val="22"/>
        </w:rPr>
        <w:t>,</w:t>
      </w:r>
      <w:r w:rsidRPr="000330E5">
        <w:rPr>
          <w:rFonts w:ascii="Palatino Linotype" w:hAnsi="Palatino Linotype" w:cs="Times New Roman"/>
          <w:sz w:val="22"/>
          <w:szCs w:val="22"/>
        </w:rPr>
        <w:t xml:space="preserve"> etc</w:t>
      </w:r>
      <w:r>
        <w:rPr>
          <w:rFonts w:ascii="Palatino Linotype" w:hAnsi="Palatino Linotype" w:cs="Times New Roman"/>
          <w:sz w:val="22"/>
          <w:szCs w:val="22"/>
        </w:rPr>
        <w:t>.</w:t>
      </w:r>
      <w:r w:rsidRPr="000330E5">
        <w:rPr>
          <w:rFonts w:ascii="Palatino Linotype" w:hAnsi="Palatino Linotype" w:cs="Times New Roman"/>
          <w:sz w:val="22"/>
          <w:szCs w:val="22"/>
        </w:rPr>
        <w:t xml:space="preserve">) </w:t>
      </w:r>
    </w:p>
    <w:p w14:paraId="5173AB16" w14:textId="1247A30A" w:rsidR="00F075B9" w:rsidRPr="000330E5" w:rsidRDefault="00F075B9" w:rsidP="00F075B9">
      <w:pPr>
        <w:pStyle w:val="ListParagraph"/>
        <w:numPr>
          <w:ilvl w:val="0"/>
          <w:numId w:val="21"/>
        </w:numPr>
        <w:jc w:val="both"/>
        <w:rPr>
          <w:rFonts w:ascii="Palatino Linotype" w:hAnsi="Palatino Linotype" w:cs="Times New Roman"/>
          <w:sz w:val="22"/>
          <w:szCs w:val="22"/>
        </w:rPr>
      </w:pPr>
      <w:r w:rsidRPr="000330E5">
        <w:rPr>
          <w:rFonts w:ascii="Palatino Linotype" w:hAnsi="Palatino Linotype" w:cs="Times New Roman"/>
          <w:sz w:val="22"/>
          <w:szCs w:val="22"/>
        </w:rPr>
        <w:t>Consider a st</w:t>
      </w:r>
      <w:r w:rsidR="00AA046C">
        <w:rPr>
          <w:rFonts w:ascii="Palatino Linotype" w:hAnsi="Palatino Linotype" w:cs="Times New Roman"/>
          <w:sz w:val="22"/>
          <w:szCs w:val="22"/>
        </w:rPr>
        <w:t xml:space="preserve">udent pairing/mentoring system with other students. </w:t>
      </w:r>
    </w:p>
    <w:p w14:paraId="1F6CE23C" w14:textId="0D5814D0" w:rsidR="0071220C" w:rsidRPr="00690435" w:rsidRDefault="00F075B9" w:rsidP="00690435">
      <w:pPr>
        <w:jc w:val="center"/>
        <w:rPr>
          <w:rFonts w:ascii="Palatino Linotype" w:hAnsi="Palatino Linotype" w:cs="Times New Roman"/>
          <w:sz w:val="22"/>
          <w:szCs w:val="22"/>
        </w:rPr>
      </w:pPr>
      <w:r>
        <w:rPr>
          <w:rFonts w:ascii="Palatino Linotype" w:hAnsi="Palatino Linotype" w:cs="Times New Roman"/>
          <w:sz w:val="22"/>
          <w:szCs w:val="22"/>
        </w:rPr>
        <w:br w:type="page"/>
      </w:r>
      <w:r w:rsidR="0071220C" w:rsidRPr="0071220C">
        <w:rPr>
          <w:rFonts w:ascii="Palatino Linotype" w:hAnsi="Palatino Linotype" w:cs="Times New Roman"/>
          <w:b/>
          <w:sz w:val="22"/>
          <w:szCs w:val="22"/>
        </w:rPr>
        <w:t>Appendix A</w:t>
      </w:r>
    </w:p>
    <w:p w14:paraId="3694BA12" w14:textId="5B72FA87" w:rsidR="0071220C" w:rsidRDefault="0071220C" w:rsidP="0071220C">
      <w:pPr>
        <w:rPr>
          <w:rFonts w:ascii="Palatino Linotype" w:hAnsi="Palatino Linotype" w:cs="Times New Roman"/>
          <w:i/>
          <w:sz w:val="22"/>
          <w:szCs w:val="22"/>
        </w:rPr>
      </w:pPr>
    </w:p>
    <w:p w14:paraId="495D76DF" w14:textId="2EA85A3F" w:rsidR="0071220C" w:rsidRPr="00051FB4" w:rsidRDefault="00051FB4" w:rsidP="0071220C">
      <w:pPr>
        <w:pStyle w:val="ListParagraph"/>
        <w:numPr>
          <w:ilvl w:val="0"/>
          <w:numId w:val="26"/>
        </w:numPr>
        <w:rPr>
          <w:rFonts w:ascii="Palatino Linotype" w:hAnsi="Palatino Linotype" w:cs="Times New Roman"/>
          <w:i/>
          <w:sz w:val="22"/>
          <w:szCs w:val="22"/>
        </w:rPr>
      </w:pPr>
      <w:r>
        <w:rPr>
          <w:rFonts w:ascii="Palatino Linotype" w:hAnsi="Palatino Linotype" w:cs="Times New Roman"/>
          <w:i/>
          <w:sz w:val="22"/>
          <w:szCs w:val="22"/>
        </w:rPr>
        <w:t xml:space="preserve">Statistics </w:t>
      </w:r>
    </w:p>
    <w:p w14:paraId="21A6209B" w14:textId="77777777" w:rsidR="0071220C" w:rsidRDefault="0071220C" w:rsidP="0071220C">
      <w:pPr>
        <w:rPr>
          <w:rFonts w:ascii="Palatino Linotype" w:hAnsi="Palatino Linotype" w:cs="Times New Roman"/>
          <w:i/>
          <w:sz w:val="22"/>
          <w:szCs w:val="22"/>
        </w:rPr>
      </w:pPr>
    </w:p>
    <w:tbl>
      <w:tblPr>
        <w:tblW w:w="0" w:type="auto"/>
        <w:tblLook w:val="04A0" w:firstRow="1" w:lastRow="0" w:firstColumn="1" w:lastColumn="0" w:noHBand="0" w:noVBand="1"/>
      </w:tblPr>
      <w:tblGrid>
        <w:gridCol w:w="801"/>
        <w:gridCol w:w="589"/>
        <w:gridCol w:w="792"/>
        <w:gridCol w:w="891"/>
        <w:gridCol w:w="1382"/>
        <w:gridCol w:w="815"/>
        <w:gridCol w:w="799"/>
        <w:gridCol w:w="554"/>
        <w:gridCol w:w="1416"/>
        <w:gridCol w:w="1197"/>
      </w:tblGrid>
      <w:tr w:rsidR="0071220C" w:rsidRPr="0071220C" w14:paraId="08C7E31E" w14:textId="77777777" w:rsidTr="001B2F77">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EEFF98"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Academic Year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D02B55" w14:textId="77777777" w:rsidR="0071220C" w:rsidRPr="00B55715" w:rsidRDefault="0071220C" w:rsidP="001B2F77">
            <w:pP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Course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1B2FCD"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Registered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058FBC"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of which ?? Are New Students to BATh 1</w:t>
            </w:r>
          </w:p>
        </w:tc>
        <w:tc>
          <w:tcPr>
            <w:tcW w:w="0" w:type="auto"/>
            <w:tcBorders>
              <w:top w:val="single" w:sz="4" w:space="0" w:color="auto"/>
              <w:left w:val="nil"/>
              <w:bottom w:val="single" w:sz="4" w:space="0" w:color="auto"/>
              <w:right w:val="nil"/>
            </w:tcBorders>
            <w:shd w:val="clear" w:color="auto" w:fill="auto"/>
            <w:vAlign w:val="center"/>
            <w:hideMark/>
          </w:tcPr>
          <w:p w14:paraId="6A67E4FA"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of which ?? Are Repeats/Deferrals to BATh 1</w:t>
            </w:r>
          </w:p>
        </w:tc>
        <w:tc>
          <w:tcPr>
            <w:tcW w:w="0" w:type="auto"/>
            <w:tcBorders>
              <w:top w:val="single" w:sz="4" w:space="0" w:color="auto"/>
              <w:left w:val="double" w:sz="6" w:space="0" w:color="auto"/>
              <w:bottom w:val="single" w:sz="4" w:space="0" w:color="auto"/>
              <w:right w:val="single" w:sz="4" w:space="0" w:color="auto"/>
            </w:tcBorders>
            <w:shd w:val="clear" w:color="auto" w:fill="auto"/>
            <w:vAlign w:val="center"/>
            <w:hideMark/>
          </w:tcPr>
          <w:p w14:paraId="2EC8482D"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Over the  AY Withdrew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85BBC4"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Deferred this year to another AY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812ABE"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Total at end of 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517B03"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Difference between Year 1 &amp;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E90093"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Difference between 2 &amp; 3</w:t>
            </w:r>
          </w:p>
        </w:tc>
      </w:tr>
      <w:tr w:rsidR="0071220C" w:rsidRPr="0071220C" w14:paraId="77E15ABE" w14:textId="77777777" w:rsidTr="001B2F77">
        <w:trPr>
          <w:trHeight w:val="9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0B5F6"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2012-2013</w:t>
            </w:r>
          </w:p>
        </w:tc>
        <w:tc>
          <w:tcPr>
            <w:tcW w:w="0" w:type="auto"/>
            <w:tcBorders>
              <w:top w:val="nil"/>
              <w:left w:val="nil"/>
              <w:bottom w:val="single" w:sz="4" w:space="0" w:color="auto"/>
              <w:right w:val="single" w:sz="4" w:space="0" w:color="auto"/>
            </w:tcBorders>
            <w:shd w:val="clear" w:color="auto" w:fill="auto"/>
            <w:noWrap/>
            <w:vAlign w:val="center"/>
            <w:hideMark/>
          </w:tcPr>
          <w:p w14:paraId="543183D2"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1</w:t>
            </w:r>
          </w:p>
        </w:tc>
        <w:tc>
          <w:tcPr>
            <w:tcW w:w="0" w:type="auto"/>
            <w:tcBorders>
              <w:top w:val="nil"/>
              <w:left w:val="nil"/>
              <w:bottom w:val="single" w:sz="4" w:space="0" w:color="auto"/>
              <w:right w:val="single" w:sz="4" w:space="0" w:color="auto"/>
            </w:tcBorders>
            <w:shd w:val="clear" w:color="auto" w:fill="auto"/>
            <w:noWrap/>
            <w:vAlign w:val="center"/>
            <w:hideMark/>
          </w:tcPr>
          <w:p w14:paraId="0A9AE709"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58</w:t>
            </w:r>
          </w:p>
        </w:tc>
        <w:tc>
          <w:tcPr>
            <w:tcW w:w="0" w:type="auto"/>
            <w:tcBorders>
              <w:top w:val="nil"/>
              <w:left w:val="nil"/>
              <w:bottom w:val="single" w:sz="4" w:space="0" w:color="auto"/>
              <w:right w:val="single" w:sz="4" w:space="0" w:color="auto"/>
            </w:tcBorders>
            <w:shd w:val="clear" w:color="auto" w:fill="auto"/>
            <w:noWrap/>
            <w:vAlign w:val="center"/>
            <w:hideMark/>
          </w:tcPr>
          <w:p w14:paraId="739DEC47"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46</w:t>
            </w:r>
          </w:p>
        </w:tc>
        <w:tc>
          <w:tcPr>
            <w:tcW w:w="0" w:type="auto"/>
            <w:tcBorders>
              <w:top w:val="nil"/>
              <w:left w:val="nil"/>
              <w:bottom w:val="single" w:sz="4" w:space="0" w:color="auto"/>
              <w:right w:val="single" w:sz="4" w:space="0" w:color="auto"/>
            </w:tcBorders>
            <w:shd w:val="clear" w:color="auto" w:fill="auto"/>
            <w:noWrap/>
            <w:vAlign w:val="center"/>
            <w:hideMark/>
          </w:tcPr>
          <w:p w14:paraId="0C7E5FD9"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14:paraId="672FCBA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2FA43B2E"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A7F1D11"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55</w:t>
            </w:r>
          </w:p>
        </w:tc>
        <w:tc>
          <w:tcPr>
            <w:tcW w:w="0" w:type="auto"/>
            <w:tcBorders>
              <w:top w:val="nil"/>
              <w:left w:val="nil"/>
              <w:bottom w:val="single" w:sz="4" w:space="0" w:color="auto"/>
              <w:right w:val="single" w:sz="4" w:space="0" w:color="auto"/>
            </w:tcBorders>
            <w:shd w:val="clear" w:color="auto" w:fill="auto"/>
            <w:vAlign w:val="center"/>
            <w:hideMark/>
          </w:tcPr>
          <w:p w14:paraId="098AE85A"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lost 25 students , 3 repeated first year in 13/14,  16 failed to progress, 5</w:t>
            </w:r>
            <w:r w:rsidRPr="00B55715">
              <w:rPr>
                <w:rFonts w:ascii="Calibri" w:eastAsia="Times New Roman" w:hAnsi="Calibri" w:cs="Times New Roman"/>
                <w:color w:val="FF0000"/>
                <w:sz w:val="13"/>
                <w:szCs w:val="13"/>
                <w:lang w:eastAsia="en-GB"/>
              </w:rPr>
              <w:t xml:space="preserve"> students transferred to MU, 1 student passed but didn't proceed or transfer to MU</w:t>
            </w:r>
          </w:p>
        </w:tc>
        <w:tc>
          <w:tcPr>
            <w:tcW w:w="0" w:type="auto"/>
            <w:tcBorders>
              <w:top w:val="nil"/>
              <w:left w:val="nil"/>
              <w:bottom w:val="single" w:sz="4" w:space="0" w:color="auto"/>
              <w:right w:val="single" w:sz="4" w:space="0" w:color="auto"/>
            </w:tcBorders>
            <w:shd w:val="clear" w:color="auto" w:fill="auto"/>
            <w:noWrap/>
            <w:vAlign w:val="center"/>
            <w:hideMark/>
          </w:tcPr>
          <w:p w14:paraId="310069A3"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r>
      <w:tr w:rsidR="0071220C" w:rsidRPr="0071220C" w14:paraId="65017BF5" w14:textId="77777777" w:rsidTr="001B2F77">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324A2"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2013-2014</w:t>
            </w:r>
          </w:p>
        </w:tc>
        <w:tc>
          <w:tcPr>
            <w:tcW w:w="0" w:type="auto"/>
            <w:tcBorders>
              <w:top w:val="nil"/>
              <w:left w:val="nil"/>
              <w:bottom w:val="single" w:sz="4" w:space="0" w:color="auto"/>
              <w:right w:val="single" w:sz="4" w:space="0" w:color="auto"/>
            </w:tcBorders>
            <w:shd w:val="clear" w:color="auto" w:fill="auto"/>
            <w:noWrap/>
            <w:vAlign w:val="center"/>
            <w:hideMark/>
          </w:tcPr>
          <w:p w14:paraId="45812D33"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2</w:t>
            </w:r>
          </w:p>
        </w:tc>
        <w:tc>
          <w:tcPr>
            <w:tcW w:w="0" w:type="auto"/>
            <w:tcBorders>
              <w:top w:val="nil"/>
              <w:left w:val="nil"/>
              <w:bottom w:val="single" w:sz="4" w:space="0" w:color="auto"/>
              <w:right w:val="single" w:sz="4" w:space="0" w:color="auto"/>
            </w:tcBorders>
            <w:shd w:val="clear" w:color="auto" w:fill="auto"/>
            <w:noWrap/>
            <w:vAlign w:val="center"/>
            <w:hideMark/>
          </w:tcPr>
          <w:p w14:paraId="07AFC8E9"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DBB3BC7"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 are returning students into 2nd year therfore only 30 first years progressed into 2nd year</w:t>
            </w:r>
          </w:p>
        </w:tc>
        <w:tc>
          <w:tcPr>
            <w:tcW w:w="0" w:type="auto"/>
            <w:tcBorders>
              <w:top w:val="nil"/>
              <w:left w:val="nil"/>
              <w:bottom w:val="single" w:sz="4" w:space="0" w:color="auto"/>
              <w:right w:val="single" w:sz="4" w:space="0" w:color="auto"/>
            </w:tcBorders>
            <w:shd w:val="clear" w:color="auto" w:fill="auto"/>
            <w:noWrap/>
            <w:vAlign w:val="center"/>
            <w:hideMark/>
          </w:tcPr>
          <w:p w14:paraId="12F136C9"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ACF694D"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207963A"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32</w:t>
            </w:r>
          </w:p>
        </w:tc>
        <w:tc>
          <w:tcPr>
            <w:tcW w:w="0" w:type="auto"/>
            <w:tcBorders>
              <w:top w:val="nil"/>
              <w:left w:val="nil"/>
              <w:bottom w:val="nil"/>
              <w:right w:val="single" w:sz="4" w:space="0" w:color="auto"/>
            </w:tcBorders>
            <w:shd w:val="clear" w:color="auto" w:fill="auto"/>
            <w:noWrap/>
            <w:vAlign w:val="center"/>
            <w:hideMark/>
          </w:tcPr>
          <w:p w14:paraId="481AEE16"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nil"/>
              <w:right w:val="single" w:sz="4" w:space="0" w:color="auto"/>
            </w:tcBorders>
            <w:shd w:val="clear" w:color="auto" w:fill="auto"/>
            <w:vAlign w:val="center"/>
            <w:hideMark/>
          </w:tcPr>
          <w:p w14:paraId="4C2C929D"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Lost 3 students -1 repeated 2nd year and two failed to progress into 3rd year and dropped out</w:t>
            </w:r>
          </w:p>
        </w:tc>
      </w:tr>
      <w:tr w:rsidR="0071220C" w:rsidRPr="0071220C" w14:paraId="69CC4904" w14:textId="77777777" w:rsidTr="001B2F77">
        <w:trPr>
          <w:trHeight w:val="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FD4791"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2014-2015</w:t>
            </w:r>
          </w:p>
        </w:tc>
        <w:tc>
          <w:tcPr>
            <w:tcW w:w="0" w:type="auto"/>
            <w:tcBorders>
              <w:top w:val="nil"/>
              <w:left w:val="nil"/>
              <w:bottom w:val="single" w:sz="4" w:space="0" w:color="auto"/>
              <w:right w:val="single" w:sz="4" w:space="0" w:color="auto"/>
            </w:tcBorders>
            <w:shd w:val="clear" w:color="auto" w:fill="auto"/>
            <w:noWrap/>
            <w:vAlign w:val="center"/>
            <w:hideMark/>
          </w:tcPr>
          <w:p w14:paraId="03AF25D3"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3</w:t>
            </w:r>
          </w:p>
        </w:tc>
        <w:tc>
          <w:tcPr>
            <w:tcW w:w="0" w:type="auto"/>
            <w:tcBorders>
              <w:top w:val="nil"/>
              <w:left w:val="nil"/>
              <w:bottom w:val="single" w:sz="4" w:space="0" w:color="auto"/>
              <w:right w:val="single" w:sz="4" w:space="0" w:color="auto"/>
            </w:tcBorders>
            <w:shd w:val="clear" w:color="auto" w:fill="auto"/>
            <w:noWrap/>
            <w:vAlign w:val="center"/>
            <w:hideMark/>
          </w:tcPr>
          <w:p w14:paraId="714AC03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BBC7FB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xml:space="preserve">6 BATh Yr 3 Repeats, means only 29 2nd years progressed into 3rd year </w:t>
            </w:r>
          </w:p>
        </w:tc>
        <w:tc>
          <w:tcPr>
            <w:tcW w:w="0" w:type="auto"/>
            <w:tcBorders>
              <w:top w:val="nil"/>
              <w:left w:val="nil"/>
              <w:bottom w:val="single" w:sz="4" w:space="0" w:color="auto"/>
              <w:right w:val="single" w:sz="4" w:space="0" w:color="auto"/>
            </w:tcBorders>
            <w:shd w:val="clear" w:color="auto" w:fill="auto"/>
            <w:noWrap/>
            <w:vAlign w:val="center"/>
            <w:hideMark/>
          </w:tcPr>
          <w:p w14:paraId="697BFD1F"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4AA7B35"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2B457E2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04F569"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4777D0"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r>
      <w:tr w:rsidR="0071220C" w:rsidRPr="0071220C" w14:paraId="064E50BD" w14:textId="77777777" w:rsidTr="001B2F77">
        <w:trPr>
          <w:trHeight w:val="200"/>
        </w:trPr>
        <w:tc>
          <w:tcPr>
            <w:tcW w:w="0" w:type="auto"/>
            <w:tcBorders>
              <w:top w:val="nil"/>
              <w:left w:val="nil"/>
              <w:bottom w:val="nil"/>
              <w:right w:val="nil"/>
            </w:tcBorders>
            <w:shd w:val="clear" w:color="auto" w:fill="auto"/>
            <w:noWrap/>
            <w:vAlign w:val="bottom"/>
            <w:hideMark/>
          </w:tcPr>
          <w:p w14:paraId="5D1A125E" w14:textId="77777777" w:rsidR="0071220C" w:rsidRPr="00B55715" w:rsidRDefault="0071220C" w:rsidP="001B2F77">
            <w:pPr>
              <w:rPr>
                <w:rFonts w:ascii="Calibri" w:eastAsia="Times New Roman" w:hAnsi="Calibri" w:cs="Times New Roman"/>
                <w:color w:val="000000"/>
                <w:sz w:val="13"/>
                <w:szCs w:val="13"/>
                <w:lang w:eastAsia="en-GB"/>
              </w:rPr>
            </w:pPr>
          </w:p>
        </w:tc>
        <w:tc>
          <w:tcPr>
            <w:tcW w:w="0" w:type="auto"/>
            <w:tcBorders>
              <w:top w:val="nil"/>
              <w:left w:val="nil"/>
              <w:bottom w:val="nil"/>
              <w:right w:val="nil"/>
            </w:tcBorders>
            <w:shd w:val="clear" w:color="auto" w:fill="auto"/>
            <w:noWrap/>
            <w:vAlign w:val="bottom"/>
            <w:hideMark/>
          </w:tcPr>
          <w:p w14:paraId="4C3F79EA"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3A34D0B6"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1737B3A1"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4EF2F557"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59BAD9E1"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70456D51"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327FC1CD"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6A3A953C"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647C0EBD" w14:textId="77777777" w:rsidR="0071220C" w:rsidRPr="00B55715" w:rsidRDefault="0071220C" w:rsidP="001B2F77">
            <w:pPr>
              <w:jc w:val="center"/>
              <w:rPr>
                <w:rFonts w:ascii="Times New Roman" w:eastAsia="Times New Roman" w:hAnsi="Times New Roman" w:cs="Times New Roman"/>
                <w:sz w:val="13"/>
                <w:szCs w:val="13"/>
                <w:lang w:eastAsia="en-GB"/>
              </w:rPr>
            </w:pPr>
          </w:p>
        </w:tc>
      </w:tr>
      <w:tr w:rsidR="0071220C" w:rsidRPr="0071220C" w14:paraId="6B4A3405" w14:textId="77777777" w:rsidTr="001B2F77">
        <w:trPr>
          <w:trHeight w:val="200"/>
        </w:trPr>
        <w:tc>
          <w:tcPr>
            <w:tcW w:w="0" w:type="auto"/>
            <w:tcBorders>
              <w:top w:val="nil"/>
              <w:left w:val="nil"/>
              <w:bottom w:val="nil"/>
              <w:right w:val="nil"/>
            </w:tcBorders>
            <w:shd w:val="clear" w:color="auto" w:fill="auto"/>
            <w:noWrap/>
            <w:vAlign w:val="bottom"/>
            <w:hideMark/>
          </w:tcPr>
          <w:p w14:paraId="057C219B"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0621DA9B"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5BCC0EA0"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3E59F14F"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1B8B2DBB"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45662418"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7A83794B"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20D12484"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12728F95"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4FFB0060" w14:textId="77777777" w:rsidR="0071220C" w:rsidRPr="00B55715" w:rsidRDefault="0071220C" w:rsidP="001B2F77">
            <w:pPr>
              <w:jc w:val="center"/>
              <w:rPr>
                <w:rFonts w:ascii="Times New Roman" w:eastAsia="Times New Roman" w:hAnsi="Times New Roman" w:cs="Times New Roman"/>
                <w:sz w:val="13"/>
                <w:szCs w:val="13"/>
                <w:lang w:eastAsia="en-GB"/>
              </w:rPr>
            </w:pPr>
          </w:p>
        </w:tc>
      </w:tr>
      <w:tr w:rsidR="0071220C" w:rsidRPr="0071220C" w14:paraId="347B7EF3" w14:textId="77777777" w:rsidTr="001B2F77">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BA9928"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Academic Year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9925864" w14:textId="77777777" w:rsidR="0071220C" w:rsidRPr="00B55715" w:rsidRDefault="0071220C" w:rsidP="001B2F77">
            <w:pP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Course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55CB66"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Registered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68BE15"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of which ?? Are New Students to BATh 1</w:t>
            </w:r>
          </w:p>
        </w:tc>
        <w:tc>
          <w:tcPr>
            <w:tcW w:w="0" w:type="auto"/>
            <w:tcBorders>
              <w:top w:val="single" w:sz="4" w:space="0" w:color="auto"/>
              <w:left w:val="nil"/>
              <w:bottom w:val="single" w:sz="4" w:space="0" w:color="auto"/>
              <w:right w:val="nil"/>
            </w:tcBorders>
            <w:shd w:val="clear" w:color="auto" w:fill="auto"/>
            <w:vAlign w:val="center"/>
            <w:hideMark/>
          </w:tcPr>
          <w:p w14:paraId="2950DDAF"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of which ?? Are Repeats/Deferrals to BATh 1</w:t>
            </w:r>
          </w:p>
        </w:tc>
        <w:tc>
          <w:tcPr>
            <w:tcW w:w="0" w:type="auto"/>
            <w:tcBorders>
              <w:top w:val="single" w:sz="4" w:space="0" w:color="auto"/>
              <w:left w:val="double" w:sz="6" w:space="0" w:color="auto"/>
              <w:bottom w:val="single" w:sz="4" w:space="0" w:color="auto"/>
              <w:right w:val="single" w:sz="4" w:space="0" w:color="auto"/>
            </w:tcBorders>
            <w:shd w:val="clear" w:color="auto" w:fill="auto"/>
            <w:vAlign w:val="center"/>
            <w:hideMark/>
          </w:tcPr>
          <w:p w14:paraId="1E5542F1"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Over the  AY Withdrew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F5CC26"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Deferred this year to another AY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A5BB47"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Total at end of 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0E54BA"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Difference between Year 1 &amp;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D55DC8"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Difference between 2 &amp; 3</w:t>
            </w:r>
          </w:p>
        </w:tc>
      </w:tr>
      <w:tr w:rsidR="0071220C" w:rsidRPr="0071220C" w14:paraId="3FD7EF41" w14:textId="77777777" w:rsidTr="001B2F77">
        <w:trPr>
          <w:trHeight w:val="7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1FA16"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2013-2014</w:t>
            </w:r>
          </w:p>
        </w:tc>
        <w:tc>
          <w:tcPr>
            <w:tcW w:w="0" w:type="auto"/>
            <w:tcBorders>
              <w:top w:val="nil"/>
              <w:left w:val="nil"/>
              <w:bottom w:val="single" w:sz="4" w:space="0" w:color="auto"/>
              <w:right w:val="single" w:sz="4" w:space="0" w:color="auto"/>
            </w:tcBorders>
            <w:shd w:val="clear" w:color="auto" w:fill="auto"/>
            <w:noWrap/>
            <w:vAlign w:val="center"/>
            <w:hideMark/>
          </w:tcPr>
          <w:p w14:paraId="2CA3CE3F"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1</w:t>
            </w:r>
          </w:p>
        </w:tc>
        <w:tc>
          <w:tcPr>
            <w:tcW w:w="0" w:type="auto"/>
            <w:tcBorders>
              <w:top w:val="nil"/>
              <w:left w:val="nil"/>
              <w:bottom w:val="single" w:sz="4" w:space="0" w:color="auto"/>
              <w:right w:val="single" w:sz="4" w:space="0" w:color="auto"/>
            </w:tcBorders>
            <w:shd w:val="clear" w:color="auto" w:fill="auto"/>
            <w:noWrap/>
            <w:vAlign w:val="center"/>
            <w:hideMark/>
          </w:tcPr>
          <w:p w14:paraId="232C1FD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43</w:t>
            </w:r>
          </w:p>
        </w:tc>
        <w:tc>
          <w:tcPr>
            <w:tcW w:w="0" w:type="auto"/>
            <w:tcBorders>
              <w:top w:val="nil"/>
              <w:left w:val="nil"/>
              <w:bottom w:val="single" w:sz="4" w:space="0" w:color="auto"/>
              <w:right w:val="single" w:sz="4" w:space="0" w:color="auto"/>
            </w:tcBorders>
            <w:shd w:val="clear" w:color="auto" w:fill="auto"/>
            <w:noWrap/>
            <w:vAlign w:val="center"/>
            <w:hideMark/>
          </w:tcPr>
          <w:p w14:paraId="6ECDDE4B"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14:paraId="6AD5D65F"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288DEB21"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67822B20"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7BD582D"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38</w:t>
            </w:r>
          </w:p>
        </w:tc>
        <w:tc>
          <w:tcPr>
            <w:tcW w:w="0" w:type="auto"/>
            <w:tcBorders>
              <w:top w:val="nil"/>
              <w:left w:val="nil"/>
              <w:bottom w:val="single" w:sz="4" w:space="0" w:color="auto"/>
              <w:right w:val="single" w:sz="4" w:space="0" w:color="auto"/>
            </w:tcBorders>
            <w:shd w:val="clear" w:color="auto" w:fill="auto"/>
            <w:vAlign w:val="center"/>
            <w:hideMark/>
          </w:tcPr>
          <w:p w14:paraId="05EC58E5"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lost 12 students, 5 repeated Year 1, 3 students failed to progress, 3 students transferred to MU</w:t>
            </w:r>
          </w:p>
        </w:tc>
        <w:tc>
          <w:tcPr>
            <w:tcW w:w="0" w:type="auto"/>
            <w:tcBorders>
              <w:top w:val="nil"/>
              <w:left w:val="nil"/>
              <w:bottom w:val="single" w:sz="4" w:space="0" w:color="auto"/>
              <w:right w:val="single" w:sz="4" w:space="0" w:color="auto"/>
            </w:tcBorders>
            <w:shd w:val="clear" w:color="auto" w:fill="auto"/>
            <w:noWrap/>
            <w:vAlign w:val="center"/>
            <w:hideMark/>
          </w:tcPr>
          <w:p w14:paraId="571AF28D"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r>
      <w:tr w:rsidR="0071220C" w:rsidRPr="0071220C" w14:paraId="3F65B73C" w14:textId="77777777" w:rsidTr="001B2F77">
        <w:trPr>
          <w:trHeight w:val="814"/>
        </w:trPr>
        <w:tc>
          <w:tcPr>
            <w:tcW w:w="0" w:type="auto"/>
            <w:tcBorders>
              <w:top w:val="nil"/>
              <w:left w:val="single" w:sz="4" w:space="0" w:color="auto"/>
              <w:bottom w:val="nil"/>
              <w:right w:val="single" w:sz="4" w:space="0" w:color="auto"/>
            </w:tcBorders>
            <w:shd w:val="clear" w:color="auto" w:fill="auto"/>
            <w:noWrap/>
            <w:vAlign w:val="center"/>
            <w:hideMark/>
          </w:tcPr>
          <w:p w14:paraId="5A0256E5"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2014-2015</w:t>
            </w:r>
          </w:p>
        </w:tc>
        <w:tc>
          <w:tcPr>
            <w:tcW w:w="0" w:type="auto"/>
            <w:tcBorders>
              <w:top w:val="nil"/>
              <w:left w:val="nil"/>
              <w:bottom w:val="nil"/>
              <w:right w:val="single" w:sz="4" w:space="0" w:color="auto"/>
            </w:tcBorders>
            <w:shd w:val="clear" w:color="auto" w:fill="auto"/>
            <w:noWrap/>
            <w:vAlign w:val="center"/>
            <w:hideMark/>
          </w:tcPr>
          <w:p w14:paraId="26CC7792"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2</w:t>
            </w:r>
          </w:p>
        </w:tc>
        <w:tc>
          <w:tcPr>
            <w:tcW w:w="0" w:type="auto"/>
            <w:tcBorders>
              <w:top w:val="nil"/>
              <w:left w:val="nil"/>
              <w:bottom w:val="nil"/>
              <w:right w:val="single" w:sz="4" w:space="0" w:color="auto"/>
            </w:tcBorders>
            <w:shd w:val="clear" w:color="auto" w:fill="auto"/>
            <w:noWrap/>
            <w:vAlign w:val="center"/>
            <w:hideMark/>
          </w:tcPr>
          <w:p w14:paraId="0D13D07E"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40</w:t>
            </w:r>
          </w:p>
        </w:tc>
        <w:tc>
          <w:tcPr>
            <w:tcW w:w="0" w:type="auto"/>
            <w:gridSpan w:val="2"/>
            <w:tcBorders>
              <w:top w:val="single" w:sz="4" w:space="0" w:color="auto"/>
              <w:left w:val="nil"/>
              <w:bottom w:val="single" w:sz="4" w:space="0" w:color="auto"/>
              <w:right w:val="nil"/>
            </w:tcBorders>
            <w:shd w:val="clear" w:color="auto" w:fill="auto"/>
            <w:vAlign w:val="center"/>
            <w:hideMark/>
          </w:tcPr>
          <w:p w14:paraId="4C322AF1"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8 transferred from Kilkenny, 4 from ALH,  2 are  2nd year repeat, means only 26 13/14 first years progressed into 2nd year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65018"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65B7BD0"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EA9C543"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39</w:t>
            </w:r>
          </w:p>
        </w:tc>
        <w:tc>
          <w:tcPr>
            <w:tcW w:w="0" w:type="auto"/>
            <w:tcBorders>
              <w:top w:val="nil"/>
              <w:left w:val="nil"/>
              <w:bottom w:val="single" w:sz="4" w:space="0" w:color="auto"/>
              <w:right w:val="single" w:sz="4" w:space="0" w:color="auto"/>
            </w:tcBorders>
            <w:shd w:val="clear" w:color="auto" w:fill="auto"/>
            <w:vAlign w:val="center"/>
            <w:hideMark/>
          </w:tcPr>
          <w:p w14:paraId="420167FE"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AFF4E25"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lost 5 students between 2nd year and 3rd year, 1 transferred to BTh 2, 1 taking a year out, 3 repeating.</w:t>
            </w:r>
          </w:p>
        </w:tc>
      </w:tr>
      <w:tr w:rsidR="0071220C" w:rsidRPr="0071220C" w14:paraId="540DAD09" w14:textId="77777777" w:rsidTr="001B2F77">
        <w:trPr>
          <w:trHeight w:val="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351D0"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2015-2016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D66A50"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B9390F"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40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7CEBE8E"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1 transfer from ALH, 2 BATH 3 repeats, 3 back after taking time out, means only 34  2nd years made it into third year</w:t>
            </w:r>
          </w:p>
        </w:tc>
        <w:tc>
          <w:tcPr>
            <w:tcW w:w="0" w:type="auto"/>
            <w:tcBorders>
              <w:top w:val="nil"/>
              <w:left w:val="nil"/>
              <w:bottom w:val="single" w:sz="4" w:space="0" w:color="auto"/>
              <w:right w:val="single" w:sz="4" w:space="0" w:color="auto"/>
            </w:tcBorders>
            <w:shd w:val="clear" w:color="auto" w:fill="auto"/>
            <w:noWrap/>
            <w:vAlign w:val="center"/>
            <w:hideMark/>
          </w:tcPr>
          <w:p w14:paraId="117119B7"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AF449F0"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8C54877"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379D39F"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B8652A"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r>
      <w:tr w:rsidR="0071220C" w:rsidRPr="0071220C" w14:paraId="5813FE1A" w14:textId="77777777" w:rsidTr="001B2F77">
        <w:trPr>
          <w:trHeight w:val="200"/>
        </w:trPr>
        <w:tc>
          <w:tcPr>
            <w:tcW w:w="0" w:type="auto"/>
            <w:tcBorders>
              <w:top w:val="nil"/>
              <w:left w:val="nil"/>
              <w:bottom w:val="nil"/>
              <w:right w:val="nil"/>
            </w:tcBorders>
            <w:shd w:val="clear" w:color="auto" w:fill="auto"/>
            <w:noWrap/>
            <w:vAlign w:val="bottom"/>
            <w:hideMark/>
          </w:tcPr>
          <w:p w14:paraId="2BB415A0" w14:textId="77777777" w:rsidR="0071220C" w:rsidRPr="00B55715" w:rsidRDefault="0071220C" w:rsidP="001B2F77">
            <w:pPr>
              <w:jc w:val="center"/>
              <w:rPr>
                <w:rFonts w:ascii="Calibri" w:eastAsia="Times New Roman" w:hAnsi="Calibri" w:cs="Times New Roman"/>
                <w:color w:val="000000"/>
                <w:sz w:val="13"/>
                <w:szCs w:val="13"/>
                <w:lang w:eastAsia="en-GB"/>
              </w:rPr>
            </w:pPr>
          </w:p>
        </w:tc>
        <w:tc>
          <w:tcPr>
            <w:tcW w:w="0" w:type="auto"/>
            <w:tcBorders>
              <w:top w:val="nil"/>
              <w:left w:val="nil"/>
              <w:bottom w:val="nil"/>
              <w:right w:val="nil"/>
            </w:tcBorders>
            <w:shd w:val="clear" w:color="auto" w:fill="auto"/>
            <w:noWrap/>
            <w:vAlign w:val="bottom"/>
            <w:hideMark/>
          </w:tcPr>
          <w:p w14:paraId="36AE6F6C"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5CF542F9"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481721E6"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3A7C4D6C"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4DB2EC0B"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64164A98"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463898F0"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0450025D"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0C774EBA" w14:textId="77777777" w:rsidR="0071220C" w:rsidRPr="00B55715" w:rsidRDefault="0071220C" w:rsidP="001B2F77">
            <w:pPr>
              <w:jc w:val="center"/>
              <w:rPr>
                <w:rFonts w:ascii="Times New Roman" w:eastAsia="Times New Roman" w:hAnsi="Times New Roman" w:cs="Times New Roman"/>
                <w:sz w:val="13"/>
                <w:szCs w:val="13"/>
                <w:lang w:eastAsia="en-GB"/>
              </w:rPr>
            </w:pPr>
          </w:p>
        </w:tc>
      </w:tr>
      <w:tr w:rsidR="0071220C" w:rsidRPr="0071220C" w14:paraId="44E4D6FA" w14:textId="77777777" w:rsidTr="001B2F77">
        <w:trPr>
          <w:trHeight w:val="200"/>
        </w:trPr>
        <w:tc>
          <w:tcPr>
            <w:tcW w:w="0" w:type="auto"/>
            <w:tcBorders>
              <w:top w:val="nil"/>
              <w:left w:val="nil"/>
              <w:bottom w:val="nil"/>
              <w:right w:val="nil"/>
            </w:tcBorders>
            <w:shd w:val="clear" w:color="auto" w:fill="auto"/>
            <w:noWrap/>
            <w:vAlign w:val="bottom"/>
            <w:hideMark/>
          </w:tcPr>
          <w:p w14:paraId="1207FEB2"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57C29E92"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604A31CF" w14:textId="77777777" w:rsidR="0071220C" w:rsidRPr="00B55715" w:rsidRDefault="0071220C" w:rsidP="001B2F77">
            <w:pP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1965CC2F"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7156F5D2"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302175D2"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0EB1CEEF"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565C71E7"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338A84E8" w14:textId="77777777" w:rsidR="0071220C" w:rsidRPr="00B55715" w:rsidRDefault="0071220C" w:rsidP="001B2F77">
            <w:pPr>
              <w:jc w:val="center"/>
              <w:rPr>
                <w:rFonts w:ascii="Times New Roman" w:eastAsia="Times New Roman" w:hAnsi="Times New Roman" w:cs="Times New Roman"/>
                <w:sz w:val="13"/>
                <w:szCs w:val="13"/>
                <w:lang w:eastAsia="en-GB"/>
              </w:rPr>
            </w:pPr>
          </w:p>
        </w:tc>
        <w:tc>
          <w:tcPr>
            <w:tcW w:w="0" w:type="auto"/>
            <w:tcBorders>
              <w:top w:val="nil"/>
              <w:left w:val="nil"/>
              <w:bottom w:val="nil"/>
              <w:right w:val="nil"/>
            </w:tcBorders>
            <w:shd w:val="clear" w:color="auto" w:fill="auto"/>
            <w:noWrap/>
            <w:vAlign w:val="bottom"/>
            <w:hideMark/>
          </w:tcPr>
          <w:p w14:paraId="641997E3" w14:textId="77777777" w:rsidR="0071220C" w:rsidRPr="00B55715" w:rsidRDefault="0071220C" w:rsidP="001B2F77">
            <w:pPr>
              <w:jc w:val="center"/>
              <w:rPr>
                <w:rFonts w:ascii="Times New Roman" w:eastAsia="Times New Roman" w:hAnsi="Times New Roman" w:cs="Times New Roman"/>
                <w:sz w:val="13"/>
                <w:szCs w:val="13"/>
                <w:lang w:eastAsia="en-GB"/>
              </w:rPr>
            </w:pPr>
          </w:p>
        </w:tc>
      </w:tr>
      <w:tr w:rsidR="0071220C" w:rsidRPr="0071220C" w14:paraId="35AE4F43" w14:textId="77777777" w:rsidTr="001B2F77">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1803CC"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Academic Year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566DD2" w14:textId="77777777" w:rsidR="0071220C" w:rsidRPr="00B55715" w:rsidRDefault="0071220C" w:rsidP="001B2F77">
            <w:pP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Course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BFDA6B"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Registered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2B1F80"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of which ?? Are New Students to BATh 1</w:t>
            </w:r>
          </w:p>
        </w:tc>
        <w:tc>
          <w:tcPr>
            <w:tcW w:w="0" w:type="auto"/>
            <w:tcBorders>
              <w:top w:val="single" w:sz="4" w:space="0" w:color="auto"/>
              <w:left w:val="nil"/>
              <w:bottom w:val="single" w:sz="4" w:space="0" w:color="auto"/>
              <w:right w:val="nil"/>
            </w:tcBorders>
            <w:shd w:val="clear" w:color="auto" w:fill="auto"/>
            <w:vAlign w:val="center"/>
            <w:hideMark/>
          </w:tcPr>
          <w:p w14:paraId="5C64492A"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of which ?? Are Repeats/Deferrals to BATh 1</w:t>
            </w:r>
          </w:p>
        </w:tc>
        <w:tc>
          <w:tcPr>
            <w:tcW w:w="0" w:type="auto"/>
            <w:tcBorders>
              <w:top w:val="single" w:sz="4" w:space="0" w:color="auto"/>
              <w:left w:val="double" w:sz="6" w:space="0" w:color="auto"/>
              <w:bottom w:val="single" w:sz="4" w:space="0" w:color="auto"/>
              <w:right w:val="single" w:sz="4" w:space="0" w:color="auto"/>
            </w:tcBorders>
            <w:shd w:val="clear" w:color="auto" w:fill="auto"/>
            <w:vAlign w:val="center"/>
            <w:hideMark/>
          </w:tcPr>
          <w:p w14:paraId="0E57BE08"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Over the  AY Withdrew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21F05A"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Deferred this year to another AY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0E966B"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Total at end of 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AD6C06"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Difference between Year 1 &amp;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160443" w14:textId="77777777" w:rsidR="0071220C" w:rsidRPr="00B55715" w:rsidRDefault="0071220C" w:rsidP="001B2F77">
            <w:pPr>
              <w:jc w:val="center"/>
              <w:rPr>
                <w:rFonts w:ascii="Calibri" w:eastAsia="Times New Roman" w:hAnsi="Calibri" w:cs="Times New Roman"/>
                <w:b/>
                <w:bCs/>
                <w:color w:val="000000"/>
                <w:sz w:val="13"/>
                <w:szCs w:val="13"/>
                <w:lang w:eastAsia="en-GB"/>
              </w:rPr>
            </w:pPr>
            <w:r w:rsidRPr="00B55715">
              <w:rPr>
                <w:rFonts w:ascii="Calibri" w:eastAsia="Times New Roman" w:hAnsi="Calibri" w:cs="Times New Roman"/>
                <w:b/>
                <w:bCs/>
                <w:color w:val="000000"/>
                <w:sz w:val="13"/>
                <w:szCs w:val="13"/>
                <w:lang w:eastAsia="en-GB"/>
              </w:rPr>
              <w:t>Difference between 2 &amp; 3</w:t>
            </w:r>
          </w:p>
        </w:tc>
      </w:tr>
      <w:tr w:rsidR="0071220C" w:rsidRPr="0071220C" w14:paraId="4574751E" w14:textId="77777777" w:rsidTr="001B2F77">
        <w:trPr>
          <w:trHeight w:val="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39DC5"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2014-2015</w:t>
            </w:r>
          </w:p>
        </w:tc>
        <w:tc>
          <w:tcPr>
            <w:tcW w:w="0" w:type="auto"/>
            <w:tcBorders>
              <w:top w:val="nil"/>
              <w:left w:val="nil"/>
              <w:bottom w:val="single" w:sz="4" w:space="0" w:color="auto"/>
              <w:right w:val="single" w:sz="4" w:space="0" w:color="auto"/>
            </w:tcBorders>
            <w:shd w:val="clear" w:color="auto" w:fill="auto"/>
            <w:noWrap/>
            <w:vAlign w:val="center"/>
            <w:hideMark/>
          </w:tcPr>
          <w:p w14:paraId="20688601"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1</w:t>
            </w:r>
          </w:p>
        </w:tc>
        <w:tc>
          <w:tcPr>
            <w:tcW w:w="0" w:type="auto"/>
            <w:tcBorders>
              <w:top w:val="nil"/>
              <w:left w:val="nil"/>
              <w:bottom w:val="single" w:sz="4" w:space="0" w:color="auto"/>
              <w:right w:val="single" w:sz="4" w:space="0" w:color="auto"/>
            </w:tcBorders>
            <w:shd w:val="clear" w:color="auto" w:fill="auto"/>
            <w:noWrap/>
            <w:vAlign w:val="center"/>
            <w:hideMark/>
          </w:tcPr>
          <w:p w14:paraId="64E99C8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44</w:t>
            </w:r>
          </w:p>
        </w:tc>
        <w:tc>
          <w:tcPr>
            <w:tcW w:w="0" w:type="auto"/>
            <w:tcBorders>
              <w:top w:val="nil"/>
              <w:left w:val="nil"/>
              <w:bottom w:val="single" w:sz="4" w:space="0" w:color="auto"/>
              <w:right w:val="single" w:sz="4" w:space="0" w:color="auto"/>
            </w:tcBorders>
            <w:shd w:val="clear" w:color="auto" w:fill="auto"/>
            <w:noWrap/>
            <w:vAlign w:val="center"/>
            <w:hideMark/>
          </w:tcPr>
          <w:p w14:paraId="71267115"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39</w:t>
            </w:r>
          </w:p>
        </w:tc>
        <w:tc>
          <w:tcPr>
            <w:tcW w:w="0" w:type="auto"/>
            <w:tcBorders>
              <w:top w:val="nil"/>
              <w:left w:val="nil"/>
              <w:bottom w:val="single" w:sz="4" w:space="0" w:color="auto"/>
              <w:right w:val="nil"/>
            </w:tcBorders>
            <w:shd w:val="clear" w:color="auto" w:fill="auto"/>
            <w:noWrap/>
            <w:vAlign w:val="center"/>
            <w:hideMark/>
          </w:tcPr>
          <w:p w14:paraId="6ACD1981"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5</w:t>
            </w:r>
          </w:p>
        </w:tc>
        <w:tc>
          <w:tcPr>
            <w:tcW w:w="0" w:type="auto"/>
            <w:tcBorders>
              <w:top w:val="nil"/>
              <w:left w:val="double" w:sz="6" w:space="0" w:color="auto"/>
              <w:bottom w:val="single" w:sz="4" w:space="0" w:color="auto"/>
              <w:right w:val="single" w:sz="4" w:space="0" w:color="auto"/>
            </w:tcBorders>
            <w:shd w:val="clear" w:color="auto" w:fill="auto"/>
            <w:noWrap/>
            <w:vAlign w:val="center"/>
            <w:hideMark/>
          </w:tcPr>
          <w:p w14:paraId="595852D6"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2C6EC80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0FC06FD"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38</w:t>
            </w:r>
          </w:p>
        </w:tc>
        <w:tc>
          <w:tcPr>
            <w:tcW w:w="0" w:type="auto"/>
            <w:tcBorders>
              <w:top w:val="nil"/>
              <w:left w:val="nil"/>
              <w:bottom w:val="single" w:sz="4" w:space="0" w:color="auto"/>
              <w:right w:val="single" w:sz="4" w:space="0" w:color="auto"/>
            </w:tcBorders>
            <w:shd w:val="clear" w:color="auto" w:fill="auto"/>
            <w:vAlign w:val="center"/>
            <w:hideMark/>
          </w:tcPr>
          <w:p w14:paraId="4FA4E0F7"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lost 11 students, 1 student transferred to seminary, 3 repeated first year, 1 deferred, 4 students failed to progress, 2 transferred to MU,</w:t>
            </w:r>
          </w:p>
        </w:tc>
        <w:tc>
          <w:tcPr>
            <w:tcW w:w="0" w:type="auto"/>
            <w:tcBorders>
              <w:top w:val="nil"/>
              <w:left w:val="nil"/>
              <w:bottom w:val="single" w:sz="4" w:space="0" w:color="auto"/>
              <w:right w:val="single" w:sz="4" w:space="0" w:color="auto"/>
            </w:tcBorders>
            <w:shd w:val="clear" w:color="auto" w:fill="auto"/>
            <w:noWrap/>
            <w:vAlign w:val="center"/>
            <w:hideMark/>
          </w:tcPr>
          <w:p w14:paraId="03574165"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r>
      <w:tr w:rsidR="0071220C" w:rsidRPr="0071220C" w14:paraId="44DDBC8B" w14:textId="77777777" w:rsidTr="001B2F77">
        <w:trPr>
          <w:trHeight w:val="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BDC6EF"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2015-2016</w:t>
            </w:r>
          </w:p>
        </w:tc>
        <w:tc>
          <w:tcPr>
            <w:tcW w:w="0" w:type="auto"/>
            <w:tcBorders>
              <w:top w:val="nil"/>
              <w:left w:val="nil"/>
              <w:bottom w:val="single" w:sz="4" w:space="0" w:color="auto"/>
              <w:right w:val="single" w:sz="4" w:space="0" w:color="auto"/>
            </w:tcBorders>
            <w:shd w:val="clear" w:color="auto" w:fill="auto"/>
            <w:noWrap/>
            <w:vAlign w:val="center"/>
            <w:hideMark/>
          </w:tcPr>
          <w:p w14:paraId="4E8579CB"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BATh 2</w:t>
            </w:r>
          </w:p>
        </w:tc>
        <w:tc>
          <w:tcPr>
            <w:tcW w:w="0" w:type="auto"/>
            <w:tcBorders>
              <w:top w:val="nil"/>
              <w:left w:val="nil"/>
              <w:bottom w:val="single" w:sz="4" w:space="0" w:color="auto"/>
              <w:right w:val="single" w:sz="4" w:space="0" w:color="auto"/>
            </w:tcBorders>
            <w:shd w:val="clear" w:color="auto" w:fill="auto"/>
            <w:noWrap/>
            <w:vAlign w:val="center"/>
            <w:hideMark/>
          </w:tcPr>
          <w:p w14:paraId="719E38B6"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41</w:t>
            </w:r>
          </w:p>
        </w:tc>
        <w:tc>
          <w:tcPr>
            <w:tcW w:w="0" w:type="auto"/>
            <w:gridSpan w:val="2"/>
            <w:tcBorders>
              <w:top w:val="single" w:sz="4" w:space="0" w:color="auto"/>
              <w:left w:val="nil"/>
              <w:bottom w:val="single" w:sz="4" w:space="0" w:color="auto"/>
              <w:right w:val="nil"/>
            </w:tcBorders>
            <w:shd w:val="clear" w:color="auto" w:fill="auto"/>
            <w:vAlign w:val="center"/>
            <w:hideMark/>
          </w:tcPr>
          <w:p w14:paraId="5DF28165"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9 transferred from Kilkenny five are BATH 2 repeats , means only 27 of 14/15 first years progressed into 2nd year</w:t>
            </w:r>
          </w:p>
        </w:tc>
        <w:tc>
          <w:tcPr>
            <w:tcW w:w="0" w:type="auto"/>
            <w:tcBorders>
              <w:top w:val="nil"/>
              <w:left w:val="double" w:sz="6" w:space="0" w:color="auto"/>
              <w:bottom w:val="single" w:sz="4" w:space="0" w:color="auto"/>
              <w:right w:val="single" w:sz="4" w:space="0" w:color="auto"/>
            </w:tcBorders>
            <w:shd w:val="clear" w:color="auto" w:fill="auto"/>
            <w:noWrap/>
            <w:vAlign w:val="center"/>
            <w:hideMark/>
          </w:tcPr>
          <w:p w14:paraId="3B5AF375"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B3A9B55"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265DED4" w14:textId="77777777" w:rsidR="0071220C" w:rsidRPr="00B55715" w:rsidRDefault="0071220C" w:rsidP="001B2F77">
            <w:pPr>
              <w:jc w:val="cente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14:paraId="1922216B"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D68B467" w14:textId="77777777" w:rsidR="0071220C" w:rsidRPr="00B55715" w:rsidRDefault="0071220C" w:rsidP="001B2F77">
            <w:pPr>
              <w:rPr>
                <w:rFonts w:ascii="Calibri" w:eastAsia="Times New Roman" w:hAnsi="Calibri" w:cs="Times New Roman"/>
                <w:color w:val="000000"/>
                <w:sz w:val="13"/>
                <w:szCs w:val="13"/>
                <w:lang w:eastAsia="en-GB"/>
              </w:rPr>
            </w:pPr>
            <w:r w:rsidRPr="00B55715">
              <w:rPr>
                <w:rFonts w:ascii="Calibri" w:eastAsia="Times New Roman" w:hAnsi="Calibri" w:cs="Times New Roman"/>
                <w:color w:val="000000"/>
                <w:sz w:val="13"/>
                <w:szCs w:val="13"/>
                <w:lang w:eastAsia="en-GB"/>
              </w:rPr>
              <w:t> </w:t>
            </w:r>
          </w:p>
        </w:tc>
      </w:tr>
    </w:tbl>
    <w:p w14:paraId="0996F445" w14:textId="77777777" w:rsidR="0071220C" w:rsidRPr="0071220C" w:rsidRDefault="0071220C" w:rsidP="0071220C">
      <w:pPr>
        <w:rPr>
          <w:sz w:val="13"/>
          <w:szCs w:val="13"/>
        </w:rPr>
      </w:pPr>
    </w:p>
    <w:p w14:paraId="3A71C067" w14:textId="77777777" w:rsidR="0071220C" w:rsidRPr="0071220C" w:rsidRDefault="0071220C" w:rsidP="0071220C">
      <w:pPr>
        <w:rPr>
          <w:rFonts w:ascii="Palatino Linotype" w:hAnsi="Palatino Linotype" w:cs="Times New Roman"/>
          <w:i/>
          <w:sz w:val="13"/>
          <w:szCs w:val="13"/>
        </w:rPr>
      </w:pPr>
    </w:p>
    <w:p w14:paraId="02B31564" w14:textId="77777777" w:rsidR="0071220C" w:rsidRPr="0071220C" w:rsidRDefault="0071220C" w:rsidP="0071220C">
      <w:pPr>
        <w:rPr>
          <w:rFonts w:ascii="Palatino Linotype" w:hAnsi="Palatino Linotype" w:cs="Times New Roman"/>
          <w:b/>
          <w:sz w:val="13"/>
          <w:szCs w:val="13"/>
        </w:rPr>
      </w:pPr>
    </w:p>
    <w:p w14:paraId="2B48506E" w14:textId="77777777" w:rsidR="0071220C" w:rsidRPr="0071220C" w:rsidRDefault="0071220C" w:rsidP="0071220C">
      <w:pPr>
        <w:rPr>
          <w:rFonts w:ascii="Palatino Linotype" w:hAnsi="Palatino Linotype" w:cs="Times New Roman"/>
          <w:b/>
          <w:sz w:val="13"/>
          <w:szCs w:val="13"/>
        </w:rPr>
      </w:pPr>
    </w:p>
    <w:p w14:paraId="10426129" w14:textId="77777777" w:rsidR="0071220C" w:rsidRPr="0071220C" w:rsidRDefault="0071220C" w:rsidP="0071220C">
      <w:pPr>
        <w:rPr>
          <w:rFonts w:ascii="Palatino Linotype" w:hAnsi="Palatino Linotype" w:cs="Times New Roman"/>
          <w:b/>
          <w:sz w:val="13"/>
          <w:szCs w:val="13"/>
        </w:rPr>
      </w:pPr>
    </w:p>
    <w:p w14:paraId="1B4195F4" w14:textId="2062337C" w:rsidR="0071220C" w:rsidRDefault="0071220C" w:rsidP="00F075B9">
      <w:pPr>
        <w:rPr>
          <w:rFonts w:ascii="Palatino Linotype" w:hAnsi="Palatino Linotype" w:cs="Times New Roman"/>
          <w:sz w:val="22"/>
          <w:szCs w:val="22"/>
        </w:rPr>
      </w:pPr>
    </w:p>
    <w:p w14:paraId="176452C0" w14:textId="77777777" w:rsidR="0071220C" w:rsidRPr="000330E5" w:rsidRDefault="0071220C" w:rsidP="007B12E4">
      <w:pPr>
        <w:jc w:val="both"/>
        <w:rPr>
          <w:rFonts w:ascii="Palatino Linotype" w:hAnsi="Palatino Linotype" w:cs="Times New Roman"/>
          <w:sz w:val="22"/>
          <w:szCs w:val="22"/>
        </w:rPr>
      </w:pPr>
    </w:p>
    <w:p w14:paraId="051267FB" w14:textId="2A525748" w:rsidR="00111B6F" w:rsidRPr="0071220C" w:rsidRDefault="00111B6F" w:rsidP="008856D7">
      <w:pPr>
        <w:jc w:val="center"/>
        <w:rPr>
          <w:rFonts w:ascii="Palatino Linotype" w:hAnsi="Palatino Linotype" w:cs="Times New Roman"/>
          <w:b/>
          <w:sz w:val="22"/>
          <w:szCs w:val="22"/>
        </w:rPr>
      </w:pPr>
      <w:r w:rsidRPr="000330E5">
        <w:rPr>
          <w:rFonts w:ascii="Palatino Linotype" w:hAnsi="Palatino Linotype" w:cs="Times New Roman"/>
          <w:sz w:val="22"/>
          <w:szCs w:val="22"/>
        </w:rPr>
        <w:br w:type="page"/>
      </w:r>
      <w:r w:rsidRPr="0071220C">
        <w:rPr>
          <w:rFonts w:ascii="Palatino Linotype" w:hAnsi="Palatino Linotype" w:cs="Times New Roman"/>
          <w:b/>
          <w:sz w:val="22"/>
          <w:szCs w:val="22"/>
        </w:rPr>
        <w:t xml:space="preserve">Appendix </w:t>
      </w:r>
      <w:r w:rsidR="00EA48B5" w:rsidRPr="0071220C">
        <w:rPr>
          <w:rFonts w:ascii="Palatino Linotype" w:hAnsi="Palatino Linotype" w:cs="Times New Roman"/>
          <w:b/>
          <w:sz w:val="22"/>
          <w:szCs w:val="22"/>
        </w:rPr>
        <w:t xml:space="preserve">B </w:t>
      </w:r>
      <w:r w:rsidR="001A18C7" w:rsidRPr="0071220C">
        <w:rPr>
          <w:rFonts w:ascii="Palatino Linotype" w:hAnsi="Palatino Linotype" w:cs="Times New Roman"/>
          <w:b/>
          <w:sz w:val="22"/>
          <w:szCs w:val="22"/>
        </w:rPr>
        <w:t>–</w:t>
      </w:r>
      <w:r w:rsidRPr="0071220C">
        <w:rPr>
          <w:rFonts w:ascii="Palatino Linotype" w:hAnsi="Palatino Linotype" w:cs="Times New Roman"/>
          <w:b/>
          <w:sz w:val="22"/>
          <w:szCs w:val="22"/>
        </w:rPr>
        <w:t xml:space="preserve"> </w:t>
      </w:r>
      <w:r w:rsidR="001A18C7" w:rsidRPr="0071220C">
        <w:rPr>
          <w:rFonts w:ascii="Palatino Linotype" w:hAnsi="Palatino Linotype" w:cs="Times New Roman"/>
          <w:b/>
          <w:sz w:val="22"/>
          <w:szCs w:val="22"/>
        </w:rPr>
        <w:t xml:space="preserve">A </w:t>
      </w:r>
      <w:r w:rsidRPr="0071220C">
        <w:rPr>
          <w:rFonts w:ascii="Palatino Linotype" w:hAnsi="Palatino Linotype" w:cs="Times New Roman"/>
          <w:b/>
          <w:sz w:val="22"/>
          <w:szCs w:val="22"/>
        </w:rPr>
        <w:t>Case-Study</w:t>
      </w:r>
    </w:p>
    <w:p w14:paraId="5D4BF64E" w14:textId="2C241B98" w:rsidR="00111B6F" w:rsidRDefault="00051FB4" w:rsidP="00051FB4">
      <w:pPr>
        <w:tabs>
          <w:tab w:val="left" w:pos="2043"/>
        </w:tabs>
        <w:jc w:val="both"/>
        <w:rPr>
          <w:rFonts w:ascii="Palatino Linotype" w:hAnsi="Palatino Linotype" w:cs="Times New Roman"/>
          <w:sz w:val="22"/>
          <w:szCs w:val="22"/>
        </w:rPr>
      </w:pPr>
      <w:r>
        <w:rPr>
          <w:rFonts w:ascii="Palatino Linotype" w:hAnsi="Palatino Linotype" w:cs="Times New Roman"/>
          <w:sz w:val="22"/>
          <w:szCs w:val="22"/>
        </w:rPr>
        <w:tab/>
      </w:r>
    </w:p>
    <w:p w14:paraId="22646C37" w14:textId="7A8F404E" w:rsidR="00111B6F" w:rsidRPr="00051FB4" w:rsidRDefault="00051FB4" w:rsidP="00051FB4">
      <w:pPr>
        <w:tabs>
          <w:tab w:val="left" w:pos="2043"/>
        </w:tabs>
        <w:ind w:firstLine="720"/>
        <w:jc w:val="both"/>
        <w:rPr>
          <w:rFonts w:ascii="Palatino Linotype" w:hAnsi="Palatino Linotype" w:cs="Times New Roman"/>
          <w:i/>
          <w:sz w:val="22"/>
          <w:szCs w:val="22"/>
        </w:rPr>
      </w:pPr>
      <w:r w:rsidRPr="00051FB4">
        <w:rPr>
          <w:rFonts w:ascii="Palatino Linotype" w:hAnsi="Palatino Linotype" w:cs="Times New Roman"/>
          <w:i/>
          <w:sz w:val="22"/>
          <w:szCs w:val="22"/>
        </w:rPr>
        <w:t xml:space="preserve">7. A Case Study: </w:t>
      </w:r>
      <w:r w:rsidR="00111B6F" w:rsidRPr="00051FB4">
        <w:rPr>
          <w:rFonts w:ascii="Palatino Linotype" w:hAnsi="Palatino Linotype" w:cs="Times New Roman"/>
          <w:i/>
          <w:sz w:val="22"/>
          <w:szCs w:val="22"/>
        </w:rPr>
        <w:t>The First Seven Weeks at University of Limerick</w:t>
      </w:r>
    </w:p>
    <w:p w14:paraId="2316838B" w14:textId="77777777" w:rsidR="00111B6F" w:rsidRPr="000330E5" w:rsidRDefault="00111B6F" w:rsidP="0072005E">
      <w:pPr>
        <w:jc w:val="both"/>
        <w:rPr>
          <w:rFonts w:ascii="Palatino Linotype" w:hAnsi="Palatino Linotype" w:cs="Times New Roman"/>
          <w:sz w:val="22"/>
          <w:szCs w:val="22"/>
        </w:rPr>
      </w:pPr>
    </w:p>
    <w:p w14:paraId="300F4A2C" w14:textId="559D4057" w:rsidR="00FF3BF6" w:rsidRPr="000330E5" w:rsidRDefault="00FF3BF6"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Introduction </w:t>
      </w:r>
    </w:p>
    <w:p w14:paraId="0AD07F9A" w14:textId="3EB43713" w:rsidR="00CA42C1" w:rsidRPr="000330E5" w:rsidRDefault="00111B6F" w:rsidP="001A18C7">
      <w:pPr>
        <w:jc w:val="both"/>
        <w:rPr>
          <w:rFonts w:ascii="Palatino Linotype" w:hAnsi="Palatino Linotype" w:cs="Times New Roman"/>
          <w:sz w:val="22"/>
          <w:szCs w:val="22"/>
        </w:rPr>
      </w:pPr>
      <w:r w:rsidRPr="000330E5">
        <w:rPr>
          <w:rFonts w:ascii="Palatino Linotype" w:hAnsi="Palatino Linotype" w:cs="Times New Roman"/>
          <w:sz w:val="22"/>
          <w:szCs w:val="22"/>
        </w:rPr>
        <w:t>First piloted in 2010/11</w:t>
      </w:r>
      <w:r w:rsidR="00E3049D" w:rsidRPr="000330E5">
        <w:rPr>
          <w:rFonts w:ascii="Palatino Linotype" w:hAnsi="Palatino Linotype" w:cs="Times New Roman"/>
          <w:sz w:val="22"/>
          <w:szCs w:val="22"/>
        </w:rPr>
        <w:t xml:space="preserve"> at the University of Limerick</w:t>
      </w:r>
      <w:r w:rsidRPr="000330E5">
        <w:rPr>
          <w:rFonts w:ascii="Palatino Linotype" w:hAnsi="Palatino Linotype" w:cs="Times New Roman"/>
          <w:sz w:val="22"/>
          <w:szCs w:val="22"/>
        </w:rPr>
        <w:t xml:space="preserve">, </w:t>
      </w:r>
      <w:r w:rsidR="000330E5" w:rsidRPr="000330E5">
        <w:rPr>
          <w:rFonts w:ascii="Palatino Linotype" w:hAnsi="Palatino Linotype" w:cs="Times New Roman"/>
          <w:sz w:val="22"/>
          <w:szCs w:val="22"/>
        </w:rPr>
        <w:t>the main aim of</w:t>
      </w:r>
      <w:r w:rsidR="00E3049D" w:rsidRPr="000330E5">
        <w:rPr>
          <w:rFonts w:ascii="Palatino Linotype" w:hAnsi="Palatino Linotype" w:cs="Times New Roman"/>
          <w:sz w:val="22"/>
          <w:szCs w:val="22"/>
        </w:rPr>
        <w:t xml:space="preserve"> </w:t>
      </w:r>
      <w:r w:rsidR="000330E5" w:rsidRPr="000330E5">
        <w:rPr>
          <w:rFonts w:ascii="Palatino Linotype" w:hAnsi="Palatino Linotype" w:cs="Times New Roman"/>
          <w:i/>
          <w:sz w:val="22"/>
          <w:szCs w:val="22"/>
        </w:rPr>
        <w:t>The First</w:t>
      </w:r>
      <w:r w:rsidRPr="000330E5">
        <w:rPr>
          <w:rFonts w:ascii="Palatino Linotype" w:hAnsi="Palatino Linotype" w:cs="Times New Roman"/>
          <w:i/>
          <w:sz w:val="22"/>
          <w:szCs w:val="22"/>
        </w:rPr>
        <w:t xml:space="preserve"> Seven Weeks</w:t>
      </w:r>
      <w:r w:rsidR="000330E5">
        <w:rPr>
          <w:rFonts w:ascii="Palatino Linotype" w:hAnsi="Palatino Linotype" w:cs="Times New Roman"/>
          <w:sz w:val="22"/>
          <w:szCs w:val="22"/>
        </w:rPr>
        <w:t xml:space="preserve"> is to support and prepare</w:t>
      </w:r>
      <w:r w:rsidRPr="000330E5">
        <w:rPr>
          <w:rFonts w:ascii="Palatino Linotype" w:hAnsi="Palatino Linotype" w:cs="Times New Roman"/>
          <w:sz w:val="22"/>
          <w:szCs w:val="22"/>
        </w:rPr>
        <w:t xml:space="preserve"> students </w:t>
      </w:r>
      <w:r w:rsidR="000330E5">
        <w:rPr>
          <w:rFonts w:ascii="Palatino Linotype" w:hAnsi="Palatino Linotype" w:cs="Times New Roman"/>
          <w:sz w:val="22"/>
          <w:szCs w:val="22"/>
        </w:rPr>
        <w:t xml:space="preserve">for </w:t>
      </w:r>
      <w:r w:rsidRPr="000330E5">
        <w:rPr>
          <w:rFonts w:ascii="Palatino Linotype" w:hAnsi="Palatino Linotype" w:cs="Times New Roman"/>
          <w:sz w:val="22"/>
          <w:szCs w:val="22"/>
        </w:rPr>
        <w:t xml:space="preserve">transitioning to higher education and to aid them in adjusting to new routines and intellectual engagement. </w:t>
      </w:r>
      <w:r w:rsidR="00CA42C1" w:rsidRPr="000330E5">
        <w:rPr>
          <w:rFonts w:ascii="Palatino Linotype" w:hAnsi="Palatino Linotype" w:cs="Times New Roman"/>
          <w:sz w:val="22"/>
          <w:szCs w:val="22"/>
        </w:rPr>
        <w:t>The following is an outline of a review carried out by Yvonne Diggins, Angelica Risquez, Maura Murphy.</w:t>
      </w:r>
      <w:r w:rsidR="00F71C19" w:rsidRPr="000330E5">
        <w:rPr>
          <w:rFonts w:ascii="Palatino Linotype" w:hAnsi="Palatino Linotype" w:cs="Times New Roman"/>
          <w:sz w:val="22"/>
          <w:szCs w:val="22"/>
        </w:rPr>
        <w:t xml:space="preserve"> </w:t>
      </w:r>
      <w:r w:rsidR="00433F9F" w:rsidRPr="000330E5">
        <w:rPr>
          <w:rFonts w:ascii="Palatino Linotype" w:hAnsi="Palatino Linotype" w:cs="Times New Roman"/>
          <w:sz w:val="22"/>
          <w:szCs w:val="22"/>
        </w:rPr>
        <w:t>The programme</w:t>
      </w:r>
      <w:r w:rsidR="00F71C19" w:rsidRPr="000330E5">
        <w:rPr>
          <w:rFonts w:ascii="Palatino Linotype" w:hAnsi="Palatino Linotype" w:cs="Times New Roman"/>
          <w:sz w:val="22"/>
          <w:szCs w:val="22"/>
        </w:rPr>
        <w:t>, they conclude,</w:t>
      </w:r>
      <w:r w:rsidR="00433F9F" w:rsidRPr="000330E5">
        <w:rPr>
          <w:rFonts w:ascii="Palatino Linotype" w:hAnsi="Palatino Linotype" w:cs="Times New Roman"/>
          <w:sz w:val="22"/>
          <w:szCs w:val="22"/>
        </w:rPr>
        <w:t xml:space="preserve"> is an ‘extremely helpful resource’ and ‘sustainable,’ yet ‘intensive from the point of view of coordination’ requiring ‘adequate funding as well as strategic support’.</w:t>
      </w:r>
      <w:r w:rsidR="00433F9F" w:rsidRPr="000330E5">
        <w:rPr>
          <w:rStyle w:val="FootnoteReference"/>
          <w:rFonts w:ascii="Palatino Linotype" w:hAnsi="Palatino Linotype" w:cs="Times New Roman"/>
          <w:sz w:val="22"/>
          <w:szCs w:val="22"/>
        </w:rPr>
        <w:footnoteReference w:id="11"/>
      </w:r>
    </w:p>
    <w:p w14:paraId="7BBBDE0E" w14:textId="77777777" w:rsidR="00CA42C1" w:rsidRPr="000330E5" w:rsidRDefault="00CA42C1" w:rsidP="001A18C7">
      <w:pPr>
        <w:jc w:val="both"/>
        <w:rPr>
          <w:rFonts w:ascii="Palatino Linotype" w:hAnsi="Palatino Linotype" w:cs="Times New Roman"/>
          <w:sz w:val="22"/>
          <w:szCs w:val="22"/>
        </w:rPr>
      </w:pPr>
    </w:p>
    <w:p w14:paraId="7401172A" w14:textId="40AB6863" w:rsidR="00111B6F" w:rsidRPr="000330E5" w:rsidRDefault="00111B6F" w:rsidP="001A18C7">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programme is organised around seven weekly themes: </w:t>
      </w:r>
    </w:p>
    <w:p w14:paraId="68E28F88" w14:textId="77777777" w:rsidR="00111B6F" w:rsidRPr="000330E5" w:rsidRDefault="00111B6F" w:rsidP="001A18C7">
      <w:pPr>
        <w:pStyle w:val="ListParagraph"/>
        <w:numPr>
          <w:ilvl w:val="0"/>
          <w:numId w:val="22"/>
        </w:numPr>
        <w:jc w:val="both"/>
        <w:rPr>
          <w:rFonts w:ascii="Palatino Linotype" w:hAnsi="Palatino Linotype" w:cs="Times New Roman"/>
          <w:sz w:val="22"/>
          <w:szCs w:val="22"/>
        </w:rPr>
      </w:pPr>
      <w:r w:rsidRPr="000330E5">
        <w:rPr>
          <w:rFonts w:ascii="Palatino Linotype" w:hAnsi="Palatino Linotype" w:cs="Times New Roman"/>
          <w:sz w:val="22"/>
          <w:szCs w:val="22"/>
        </w:rPr>
        <w:t>Welcome, settling in and finding your way around  </w:t>
      </w:r>
    </w:p>
    <w:p w14:paraId="56A93630" w14:textId="77777777" w:rsidR="00111B6F" w:rsidRPr="000330E5" w:rsidRDefault="00111B6F" w:rsidP="001A18C7">
      <w:pPr>
        <w:pStyle w:val="ListParagraph"/>
        <w:numPr>
          <w:ilvl w:val="0"/>
          <w:numId w:val="22"/>
        </w:numPr>
        <w:jc w:val="both"/>
        <w:rPr>
          <w:rFonts w:ascii="Palatino Linotype" w:hAnsi="Palatino Linotype" w:cs="Times New Roman"/>
          <w:sz w:val="22"/>
          <w:szCs w:val="22"/>
        </w:rPr>
      </w:pPr>
      <w:r w:rsidRPr="000330E5">
        <w:rPr>
          <w:rFonts w:ascii="Palatino Linotype" w:hAnsi="Palatino Linotype" w:cs="Times New Roman"/>
          <w:sz w:val="22"/>
          <w:szCs w:val="22"/>
        </w:rPr>
        <w:t>Study skills and time management  </w:t>
      </w:r>
    </w:p>
    <w:p w14:paraId="3490AADA" w14:textId="77777777" w:rsidR="00111B6F" w:rsidRPr="000330E5" w:rsidRDefault="00111B6F" w:rsidP="001A18C7">
      <w:pPr>
        <w:pStyle w:val="ListParagraph"/>
        <w:numPr>
          <w:ilvl w:val="0"/>
          <w:numId w:val="22"/>
        </w:numPr>
        <w:jc w:val="both"/>
        <w:rPr>
          <w:rFonts w:ascii="Palatino Linotype" w:hAnsi="Palatino Linotype" w:cs="Times New Roman"/>
          <w:sz w:val="22"/>
          <w:szCs w:val="22"/>
        </w:rPr>
      </w:pPr>
      <w:r w:rsidRPr="000330E5">
        <w:rPr>
          <w:rFonts w:ascii="Palatino Linotype" w:hAnsi="Palatino Linotype" w:cs="Times New Roman"/>
          <w:sz w:val="22"/>
          <w:szCs w:val="22"/>
        </w:rPr>
        <w:t>Health and wellbeing  </w:t>
      </w:r>
    </w:p>
    <w:p w14:paraId="2CF737C0" w14:textId="77777777" w:rsidR="00111B6F" w:rsidRPr="000330E5" w:rsidRDefault="00111B6F" w:rsidP="001A18C7">
      <w:pPr>
        <w:pStyle w:val="ListParagraph"/>
        <w:numPr>
          <w:ilvl w:val="0"/>
          <w:numId w:val="22"/>
        </w:numPr>
        <w:jc w:val="both"/>
        <w:rPr>
          <w:rFonts w:ascii="Palatino Linotype" w:hAnsi="Palatino Linotype" w:cs="Times New Roman"/>
          <w:sz w:val="22"/>
          <w:szCs w:val="22"/>
        </w:rPr>
      </w:pPr>
      <w:r w:rsidRPr="000330E5">
        <w:rPr>
          <w:rFonts w:ascii="Palatino Linotype" w:hAnsi="Palatino Linotype" w:cs="Times New Roman"/>
          <w:sz w:val="22"/>
          <w:szCs w:val="22"/>
        </w:rPr>
        <w:t>Meet your advisor  </w:t>
      </w:r>
    </w:p>
    <w:p w14:paraId="23229053" w14:textId="77777777" w:rsidR="00111B6F" w:rsidRPr="000330E5" w:rsidRDefault="00111B6F" w:rsidP="001A18C7">
      <w:pPr>
        <w:pStyle w:val="ListParagraph"/>
        <w:numPr>
          <w:ilvl w:val="0"/>
          <w:numId w:val="22"/>
        </w:numPr>
        <w:jc w:val="both"/>
        <w:rPr>
          <w:rFonts w:ascii="Palatino Linotype" w:hAnsi="Palatino Linotype" w:cs="Times New Roman"/>
          <w:sz w:val="22"/>
          <w:szCs w:val="22"/>
        </w:rPr>
      </w:pPr>
      <w:r w:rsidRPr="000330E5">
        <w:rPr>
          <w:rFonts w:ascii="Palatino Linotype" w:hAnsi="Palatino Linotype" w:cs="Times New Roman"/>
          <w:sz w:val="22"/>
          <w:szCs w:val="22"/>
        </w:rPr>
        <w:t>Learner support centres  </w:t>
      </w:r>
    </w:p>
    <w:p w14:paraId="00079640" w14:textId="77777777" w:rsidR="00111B6F" w:rsidRPr="000330E5" w:rsidRDefault="00111B6F" w:rsidP="001A18C7">
      <w:pPr>
        <w:pStyle w:val="ListParagraph"/>
        <w:numPr>
          <w:ilvl w:val="0"/>
          <w:numId w:val="22"/>
        </w:numPr>
        <w:jc w:val="both"/>
        <w:rPr>
          <w:rFonts w:ascii="Palatino Linotype" w:hAnsi="Palatino Linotype" w:cs="Times New Roman"/>
          <w:sz w:val="22"/>
          <w:szCs w:val="22"/>
        </w:rPr>
      </w:pPr>
      <w:r w:rsidRPr="000330E5">
        <w:rPr>
          <w:rFonts w:ascii="Palatino Linotype" w:hAnsi="Palatino Linotype" w:cs="Times New Roman"/>
          <w:sz w:val="22"/>
          <w:szCs w:val="22"/>
        </w:rPr>
        <w:t>Career and civic engagement awareness  </w:t>
      </w:r>
    </w:p>
    <w:p w14:paraId="3E1BBD69" w14:textId="08730B9C" w:rsidR="00111B6F" w:rsidRPr="000330E5" w:rsidRDefault="00111B6F" w:rsidP="001A18C7">
      <w:pPr>
        <w:pStyle w:val="ListParagraph"/>
        <w:numPr>
          <w:ilvl w:val="0"/>
          <w:numId w:val="22"/>
        </w:numPr>
        <w:jc w:val="both"/>
        <w:rPr>
          <w:rFonts w:ascii="Palatino Linotype" w:hAnsi="Palatino Linotype" w:cs="Times New Roman"/>
          <w:sz w:val="22"/>
          <w:szCs w:val="22"/>
        </w:rPr>
      </w:pPr>
      <w:r w:rsidRPr="000330E5">
        <w:rPr>
          <w:rFonts w:ascii="Palatino Linotype" w:hAnsi="Palatino Linotype" w:cs="Times New Roman"/>
          <w:sz w:val="22"/>
          <w:szCs w:val="22"/>
        </w:rPr>
        <w:t>Critical thi</w:t>
      </w:r>
      <w:r w:rsidR="00016B47" w:rsidRPr="000330E5">
        <w:rPr>
          <w:rFonts w:ascii="Palatino Linotype" w:hAnsi="Palatino Linotype" w:cs="Times New Roman"/>
          <w:sz w:val="22"/>
          <w:szCs w:val="22"/>
        </w:rPr>
        <w:t>nking and longer term planning.</w:t>
      </w:r>
    </w:p>
    <w:p w14:paraId="5EF0A38A" w14:textId="77777777" w:rsidR="00CA42C1" w:rsidRPr="000330E5" w:rsidRDefault="00CA42C1" w:rsidP="001A18C7">
      <w:pPr>
        <w:jc w:val="both"/>
        <w:rPr>
          <w:rFonts w:ascii="Palatino Linotype" w:hAnsi="Palatino Linotype" w:cs="Times New Roman"/>
          <w:sz w:val="22"/>
          <w:szCs w:val="22"/>
        </w:rPr>
      </w:pPr>
    </w:p>
    <w:p w14:paraId="1BE235FE" w14:textId="083639D8" w:rsidR="00111B6F" w:rsidRPr="000330E5" w:rsidRDefault="00E3049D" w:rsidP="001A18C7">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communication platform was </w:t>
      </w:r>
      <w:r w:rsidRPr="000330E5">
        <w:rPr>
          <w:rFonts w:ascii="Palatino Linotype" w:hAnsi="Palatino Linotype" w:cs="Times New Roman"/>
          <w:i/>
          <w:sz w:val="22"/>
          <w:szCs w:val="22"/>
        </w:rPr>
        <w:t>Facebook</w:t>
      </w:r>
      <w:r w:rsidRPr="000330E5">
        <w:rPr>
          <w:rFonts w:ascii="Palatino Linotype" w:hAnsi="Palatino Linotype" w:cs="Times New Roman"/>
          <w:sz w:val="22"/>
          <w:szCs w:val="22"/>
        </w:rPr>
        <w:t xml:space="preserve">. </w:t>
      </w:r>
      <w:r w:rsidR="00111B6F" w:rsidRPr="000330E5">
        <w:rPr>
          <w:rFonts w:ascii="Palatino Linotype" w:hAnsi="Palatino Linotype" w:cs="Times New Roman"/>
          <w:sz w:val="22"/>
          <w:szCs w:val="22"/>
        </w:rPr>
        <w:t>A working group was assigned to each weekly theme to develop and source online materials (videos, photos, downloads, maps</w:t>
      </w:r>
      <w:r w:rsidR="00AA2255">
        <w:rPr>
          <w:rFonts w:ascii="Palatino Linotype" w:hAnsi="Palatino Linotype" w:cs="Times New Roman"/>
          <w:sz w:val="22"/>
          <w:szCs w:val="22"/>
        </w:rPr>
        <w:t>,</w:t>
      </w:r>
      <w:r w:rsidR="00111B6F" w:rsidRPr="000330E5">
        <w:rPr>
          <w:rFonts w:ascii="Palatino Linotype" w:hAnsi="Palatino Linotype" w:cs="Times New Roman"/>
          <w:sz w:val="22"/>
          <w:szCs w:val="22"/>
        </w:rPr>
        <w:t xml:space="preserve"> etc</w:t>
      </w:r>
      <w:r w:rsidR="00AA2255">
        <w:rPr>
          <w:rFonts w:ascii="Palatino Linotype" w:hAnsi="Palatino Linotype" w:cs="Times New Roman"/>
          <w:sz w:val="22"/>
          <w:szCs w:val="22"/>
        </w:rPr>
        <w:t>.</w:t>
      </w:r>
      <w:r w:rsidR="00111B6F" w:rsidRPr="000330E5">
        <w:rPr>
          <w:rFonts w:ascii="Palatino Linotype" w:hAnsi="Palatino Linotype" w:cs="Times New Roman"/>
          <w:sz w:val="22"/>
          <w:szCs w:val="22"/>
        </w:rPr>
        <w:t xml:space="preserve">) </w:t>
      </w:r>
      <w:r w:rsidR="00AA2255">
        <w:rPr>
          <w:rFonts w:ascii="Palatino Linotype" w:hAnsi="Palatino Linotype" w:cs="Times New Roman"/>
          <w:sz w:val="22"/>
          <w:szCs w:val="22"/>
        </w:rPr>
        <w:t>to complement</w:t>
      </w:r>
      <w:r w:rsidRPr="000330E5">
        <w:rPr>
          <w:rFonts w:ascii="Palatino Linotype" w:hAnsi="Palatino Linotype" w:cs="Times New Roman"/>
          <w:sz w:val="22"/>
          <w:szCs w:val="22"/>
        </w:rPr>
        <w:t xml:space="preserve"> and communicate face-to-face events. In time an online ‘community’ of new, current and indeed past students was developed. </w:t>
      </w:r>
    </w:p>
    <w:p w14:paraId="4A8CC25D" w14:textId="77777777" w:rsidR="00E3049D" w:rsidRPr="000330E5" w:rsidRDefault="00E3049D" w:rsidP="001A18C7">
      <w:pPr>
        <w:jc w:val="both"/>
        <w:rPr>
          <w:rFonts w:ascii="Palatino Linotype" w:hAnsi="Palatino Linotype" w:cs="Times New Roman"/>
          <w:sz w:val="22"/>
          <w:szCs w:val="22"/>
        </w:rPr>
      </w:pPr>
    </w:p>
    <w:p w14:paraId="44C95CCD" w14:textId="1D1641BC" w:rsidR="00FF3BF6" w:rsidRPr="000330E5" w:rsidRDefault="00FF3BF6"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Week One: Welcome, settling in and finding your way around  </w:t>
      </w:r>
    </w:p>
    <w:p w14:paraId="34183F5E" w14:textId="50DE6FFD" w:rsidR="00FF3BF6" w:rsidRPr="000330E5" w:rsidRDefault="00FF3BF6" w:rsidP="001A18C7">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Located in each of the main buildings are First Seven Weeks student guides. A FSW Hub is c</w:t>
      </w:r>
      <w:r w:rsidR="00CA42C1" w:rsidRPr="000330E5">
        <w:rPr>
          <w:rFonts w:ascii="Palatino Linotype" w:hAnsi="Palatino Linotype" w:cs="Times New Roman"/>
          <w:sz w:val="22"/>
          <w:szCs w:val="22"/>
        </w:rPr>
        <w:t>reated on campus for students to visit</w:t>
      </w:r>
      <w:r w:rsidRPr="000330E5">
        <w:rPr>
          <w:rFonts w:ascii="Palatino Linotype" w:hAnsi="Palatino Linotype" w:cs="Times New Roman"/>
          <w:sz w:val="22"/>
          <w:szCs w:val="22"/>
        </w:rPr>
        <w:t>. Through the Facebook page, students are provided with videos and maps of the campus buildings and lecture halls.</w:t>
      </w:r>
      <w:r w:rsidR="00244304" w:rsidRPr="000330E5">
        <w:rPr>
          <w:rStyle w:val="FootnoteReference"/>
          <w:rFonts w:ascii="Palatino Linotype" w:hAnsi="Palatino Linotype" w:cs="Times New Roman"/>
          <w:sz w:val="22"/>
          <w:szCs w:val="22"/>
        </w:rPr>
        <w:footnoteReference w:id="12"/>
      </w:r>
      <w:r w:rsidRPr="000330E5">
        <w:rPr>
          <w:rFonts w:ascii="Palatino Linotype" w:hAnsi="Palatino Linotype" w:cs="Times New Roman"/>
          <w:sz w:val="22"/>
          <w:szCs w:val="22"/>
        </w:rPr>
        <w:t xml:space="preserve"> </w:t>
      </w:r>
    </w:p>
    <w:p w14:paraId="3E560FDF" w14:textId="77777777" w:rsidR="00FF3BF6" w:rsidRPr="000330E5" w:rsidRDefault="00FF3BF6" w:rsidP="001A18C7">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 xml:space="preserve">To welcome students, the programme launched a ‘Breakfast with your Dean’, which, as the title suggests, invites students to attend breakfast and meet their Dean, along with other students in their discipline. </w:t>
      </w:r>
    </w:p>
    <w:p w14:paraId="06ABBC46" w14:textId="70B8CC93" w:rsidR="00FF3BF6" w:rsidRPr="000330E5" w:rsidRDefault="00FF3BF6" w:rsidP="00AA2255">
      <w:pPr>
        <w:ind w:firstLine="720"/>
        <w:jc w:val="both"/>
        <w:rPr>
          <w:rFonts w:ascii="Palatino Linotype" w:hAnsi="Palatino Linotype" w:cs="Times New Roman"/>
          <w:sz w:val="22"/>
          <w:szCs w:val="22"/>
        </w:rPr>
      </w:pPr>
      <w:r w:rsidRPr="000330E5">
        <w:rPr>
          <w:rFonts w:ascii="Palatino Linotype" w:hAnsi="Palatino Linotype" w:cs="Times New Roman"/>
          <w:sz w:val="22"/>
          <w:szCs w:val="22"/>
        </w:rPr>
        <w:t>The initiative e</w:t>
      </w:r>
      <w:r w:rsidR="00AA2255">
        <w:rPr>
          <w:rFonts w:ascii="Palatino Linotype" w:hAnsi="Palatino Linotype" w:cs="Times New Roman"/>
          <w:sz w:val="22"/>
          <w:szCs w:val="22"/>
        </w:rPr>
        <w:t>ncourages student contact with F</w:t>
      </w:r>
      <w:r w:rsidRPr="000330E5">
        <w:rPr>
          <w:rFonts w:ascii="Palatino Linotype" w:hAnsi="Palatino Linotype" w:cs="Times New Roman"/>
          <w:sz w:val="22"/>
          <w:szCs w:val="22"/>
        </w:rPr>
        <w:t>a</w:t>
      </w:r>
      <w:r w:rsidR="00AA2255">
        <w:rPr>
          <w:rFonts w:ascii="Palatino Linotype" w:hAnsi="Palatino Linotype" w:cs="Times New Roman"/>
          <w:sz w:val="22"/>
          <w:szCs w:val="22"/>
        </w:rPr>
        <w:t>c</w:t>
      </w:r>
      <w:r w:rsidRPr="000330E5">
        <w:rPr>
          <w:rFonts w:ascii="Palatino Linotype" w:hAnsi="Palatino Linotype" w:cs="Times New Roman"/>
          <w:sz w:val="22"/>
          <w:szCs w:val="22"/>
        </w:rPr>
        <w:t xml:space="preserve">ulty, considered a vital factor for student transition by research on this matter. </w:t>
      </w:r>
    </w:p>
    <w:p w14:paraId="2825A4D4" w14:textId="77777777" w:rsidR="00244304" w:rsidRPr="000330E5" w:rsidRDefault="00244304" w:rsidP="001A18C7">
      <w:pPr>
        <w:jc w:val="both"/>
        <w:rPr>
          <w:rFonts w:ascii="Palatino Linotype" w:hAnsi="Palatino Linotype" w:cs="Times New Roman"/>
          <w:sz w:val="22"/>
          <w:szCs w:val="22"/>
        </w:rPr>
      </w:pPr>
    </w:p>
    <w:p w14:paraId="2737AEA7" w14:textId="77777777" w:rsidR="00433F9F" w:rsidRPr="000330E5" w:rsidRDefault="00433F9F"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Week 2: Study skills and time management and Week 7: Critical thinking and longer term planning </w:t>
      </w:r>
    </w:p>
    <w:p w14:paraId="4F6A29BC" w14:textId="7C8D17B0" w:rsidR="00433F9F" w:rsidRPr="000330E5" w:rsidRDefault="00433F9F" w:rsidP="001A18C7">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New skills are required for students to adapt to study. The programme organises workshops and events focusing on study skills, critical thinking, planning, time management and the virtual learning environment, which are all announced through the Facebook page. Timetables can also be downloaded through the page. </w:t>
      </w:r>
    </w:p>
    <w:p w14:paraId="36CFEBF6" w14:textId="77777777" w:rsidR="00433F9F" w:rsidRPr="000330E5" w:rsidRDefault="00433F9F" w:rsidP="001A18C7">
      <w:pPr>
        <w:jc w:val="both"/>
        <w:rPr>
          <w:rFonts w:ascii="Palatino Linotype" w:hAnsi="Palatino Linotype" w:cs="Times New Roman"/>
          <w:sz w:val="22"/>
          <w:szCs w:val="22"/>
        </w:rPr>
      </w:pPr>
    </w:p>
    <w:p w14:paraId="619C0DF6" w14:textId="77777777" w:rsidR="00433F9F" w:rsidRPr="000330E5" w:rsidRDefault="00433F9F"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Week 3: Health and wellbeing and Week 5: Learner Support Centres </w:t>
      </w:r>
    </w:p>
    <w:p w14:paraId="3AD08F27" w14:textId="536B8573" w:rsidR="00433F9F" w:rsidRPr="000330E5" w:rsidRDefault="00433F9F" w:rsidP="001A18C7">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Student Support Services engage with students in week 3 and 5, include counselling, chaplaincy, medical centre, </w:t>
      </w:r>
      <w:r w:rsidR="00B70392">
        <w:rPr>
          <w:rFonts w:ascii="Palatino Linotype" w:hAnsi="Palatino Linotype" w:cs="Times New Roman"/>
          <w:sz w:val="22"/>
          <w:szCs w:val="22"/>
        </w:rPr>
        <w:t xml:space="preserve">Centre for Learning and Teaching (CLT) </w:t>
      </w:r>
      <w:r w:rsidRPr="000330E5">
        <w:rPr>
          <w:rFonts w:ascii="Palatino Linotype" w:hAnsi="Palatino Linotype" w:cs="Times New Roman"/>
          <w:sz w:val="22"/>
          <w:szCs w:val="22"/>
        </w:rPr>
        <w:t xml:space="preserve">and so on. The aim is to generate awareness of these supports among students. </w:t>
      </w:r>
    </w:p>
    <w:p w14:paraId="6E109D83" w14:textId="77777777" w:rsidR="00433F9F" w:rsidRPr="000330E5" w:rsidRDefault="00433F9F" w:rsidP="001A18C7">
      <w:pPr>
        <w:jc w:val="both"/>
        <w:rPr>
          <w:rFonts w:ascii="Palatino Linotype" w:hAnsi="Palatino Linotype" w:cs="Times New Roman"/>
          <w:sz w:val="22"/>
          <w:szCs w:val="22"/>
        </w:rPr>
      </w:pPr>
    </w:p>
    <w:p w14:paraId="0E779C56" w14:textId="77777777" w:rsidR="00433F9F" w:rsidRPr="000330E5" w:rsidRDefault="00433F9F"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Week 4: Meet your advisor </w:t>
      </w:r>
    </w:p>
    <w:p w14:paraId="1DB53888" w14:textId="4794B879" w:rsidR="00433F9F" w:rsidRPr="000330E5" w:rsidRDefault="00433F9F" w:rsidP="001A18C7">
      <w:pPr>
        <w:jc w:val="both"/>
        <w:rPr>
          <w:rFonts w:ascii="Palatino Linotype" w:hAnsi="Palatino Linotype" w:cs="Times New Roman"/>
          <w:sz w:val="22"/>
          <w:szCs w:val="22"/>
        </w:rPr>
      </w:pPr>
      <w:r w:rsidRPr="000330E5">
        <w:rPr>
          <w:rFonts w:ascii="Palatino Linotype" w:hAnsi="Palatino Linotype" w:cs="Times New Roman"/>
          <w:sz w:val="22"/>
          <w:szCs w:val="22"/>
        </w:rPr>
        <w:t>In UL, each student is appointed a faculty advisor. The aim is to develop a network of concerned lecturers with adequate resources to deal with the difficulties which students face. Through this system, student-faculty interaction is encouraged and promoted, with a view to contributing significantly to the broader development of students on campus. To note: while faculty-student contact is high, student</w:t>
      </w:r>
      <w:r w:rsidR="00320344">
        <w:rPr>
          <w:rFonts w:ascii="Palatino Linotype" w:hAnsi="Palatino Linotype" w:cs="Times New Roman"/>
          <w:sz w:val="22"/>
          <w:szCs w:val="22"/>
        </w:rPr>
        <w:t>’</w:t>
      </w:r>
      <w:r w:rsidRPr="000330E5">
        <w:rPr>
          <w:rFonts w:ascii="Palatino Linotype" w:hAnsi="Palatino Linotype" w:cs="Times New Roman"/>
          <w:sz w:val="22"/>
          <w:szCs w:val="22"/>
        </w:rPr>
        <w:t>s use of the ‘advisor-system’ is low (on</w:t>
      </w:r>
      <w:r w:rsidR="00B70392">
        <w:rPr>
          <w:rFonts w:ascii="Palatino Linotype" w:hAnsi="Palatino Linotype" w:cs="Times New Roman"/>
          <w:sz w:val="22"/>
          <w:szCs w:val="22"/>
        </w:rPr>
        <w:t>l</w:t>
      </w:r>
      <w:r w:rsidRPr="000330E5">
        <w:rPr>
          <w:rFonts w:ascii="Palatino Linotype" w:hAnsi="Palatino Linotype" w:cs="Times New Roman"/>
          <w:sz w:val="22"/>
          <w:szCs w:val="22"/>
        </w:rPr>
        <w:t xml:space="preserve">y 34% made contact).  </w:t>
      </w:r>
    </w:p>
    <w:p w14:paraId="4C46701A" w14:textId="77777777" w:rsidR="00433F9F" w:rsidRPr="000330E5" w:rsidRDefault="00433F9F" w:rsidP="001A18C7">
      <w:pPr>
        <w:jc w:val="both"/>
        <w:rPr>
          <w:rFonts w:ascii="Palatino Linotype" w:hAnsi="Palatino Linotype" w:cs="Times New Roman"/>
          <w:sz w:val="22"/>
          <w:szCs w:val="22"/>
        </w:rPr>
      </w:pPr>
    </w:p>
    <w:p w14:paraId="45478636" w14:textId="77777777" w:rsidR="00433F9F" w:rsidRPr="000330E5" w:rsidRDefault="00433F9F"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Week 6: Career and civic engagement awareness </w:t>
      </w:r>
    </w:p>
    <w:p w14:paraId="63F4AD9E" w14:textId="0BFD5CA5" w:rsidR="00433F9F" w:rsidRPr="000330E5" w:rsidRDefault="00433F9F" w:rsidP="001A18C7">
      <w:pPr>
        <w:jc w:val="both"/>
        <w:rPr>
          <w:rFonts w:ascii="Palatino Linotype" w:hAnsi="Palatino Linotype" w:cs="Times New Roman"/>
          <w:sz w:val="22"/>
          <w:szCs w:val="22"/>
        </w:rPr>
      </w:pPr>
      <w:r w:rsidRPr="000330E5">
        <w:rPr>
          <w:rFonts w:ascii="Palatino Linotype" w:hAnsi="Palatino Linotype" w:cs="Times New Roman"/>
          <w:sz w:val="22"/>
          <w:szCs w:val="22"/>
        </w:rPr>
        <w:t>During Week 6 representatives from a ‘Co-operative Education and Careers’ Centre</w:t>
      </w:r>
      <w:r w:rsidR="00B70392">
        <w:rPr>
          <w:rFonts w:ascii="Palatino Linotype" w:hAnsi="Palatino Linotype" w:cs="Times New Roman"/>
          <w:sz w:val="22"/>
          <w:szCs w:val="22"/>
        </w:rPr>
        <w:t>’</w:t>
      </w:r>
      <w:r w:rsidRPr="000330E5">
        <w:rPr>
          <w:rFonts w:ascii="Palatino Linotype" w:hAnsi="Palatino Linotype" w:cs="Times New Roman"/>
          <w:sz w:val="22"/>
          <w:szCs w:val="22"/>
        </w:rPr>
        <w:t xml:space="preserve"> answer student quer</w:t>
      </w:r>
      <w:r w:rsidR="00B70392">
        <w:rPr>
          <w:rFonts w:ascii="Palatino Linotype" w:hAnsi="Palatino Linotype" w:cs="Times New Roman"/>
          <w:sz w:val="22"/>
          <w:szCs w:val="22"/>
        </w:rPr>
        <w:t>ies. It coincides with a Careers F</w:t>
      </w:r>
      <w:r w:rsidRPr="000330E5">
        <w:rPr>
          <w:rFonts w:ascii="Palatino Linotype" w:hAnsi="Palatino Linotype" w:cs="Times New Roman"/>
          <w:sz w:val="22"/>
          <w:szCs w:val="22"/>
        </w:rPr>
        <w:t xml:space="preserve">air on campus. First year students are interested in careers particularly with regards to future career choices and cooperative education work placement. A President’s Volunteer Award Ceremony is also held in this week.  </w:t>
      </w:r>
    </w:p>
    <w:p w14:paraId="3CB564BC" w14:textId="77777777" w:rsidR="00433F9F" w:rsidRPr="000330E5" w:rsidRDefault="00433F9F" w:rsidP="001A18C7">
      <w:pPr>
        <w:jc w:val="both"/>
        <w:rPr>
          <w:rFonts w:ascii="Palatino Linotype" w:hAnsi="Palatino Linotype" w:cs="Times New Roman"/>
          <w:sz w:val="22"/>
          <w:szCs w:val="22"/>
        </w:rPr>
      </w:pPr>
    </w:p>
    <w:p w14:paraId="15E64E13" w14:textId="77777777" w:rsidR="00433F9F" w:rsidRPr="000330E5" w:rsidRDefault="00433F9F"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The Use of Technology/Facebook  </w:t>
      </w:r>
    </w:p>
    <w:p w14:paraId="3F4DF735" w14:textId="77777777" w:rsidR="00433F9F" w:rsidRPr="000330E5" w:rsidRDefault="00433F9F" w:rsidP="001A18C7">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review looked to how students used Facebook. There appears to be a very high usage of Facebook (94% used it on a daily basis in 2012). Furthermore, the page can generate high amounts of views beyond the student body itself. The review recorded: </w:t>
      </w:r>
    </w:p>
    <w:p w14:paraId="2945F7A3" w14:textId="77777777" w:rsidR="00F71C19" w:rsidRPr="000330E5" w:rsidRDefault="00F71C19" w:rsidP="001A18C7">
      <w:pPr>
        <w:jc w:val="both"/>
        <w:rPr>
          <w:rFonts w:ascii="Palatino Linotype" w:hAnsi="Palatino Linotype" w:cs="Times New Roman"/>
          <w:sz w:val="22"/>
          <w:szCs w:val="22"/>
        </w:rPr>
      </w:pPr>
    </w:p>
    <w:p w14:paraId="2D1190F6" w14:textId="77777777" w:rsidR="00433F9F" w:rsidRPr="000330E5" w:rsidRDefault="00433F9F" w:rsidP="001A18C7">
      <w:pPr>
        <w:ind w:left="720"/>
        <w:jc w:val="both"/>
        <w:rPr>
          <w:rFonts w:ascii="Palatino Linotype" w:hAnsi="Palatino Linotype" w:cs="Times New Roman"/>
          <w:sz w:val="22"/>
          <w:szCs w:val="22"/>
        </w:rPr>
      </w:pPr>
      <w:r w:rsidRPr="000330E5">
        <w:rPr>
          <w:rFonts w:ascii="Palatino Linotype" w:hAnsi="Palatino Linotype" w:cs="Times New Roman"/>
          <w:sz w:val="22"/>
          <w:szCs w:val="22"/>
        </w:rPr>
        <w:t xml:space="preserve">The highest weekly number of people (unique users) who viewed a posting on the Facebook was on the 7th September 2011 (Week 1 – Phase 2) with 34,193 unique views of the page. This number was followed by 33,404 unique views of the page also in Week 1 of the programme. Out of 608 responses, 22% stated that the Facebook page was ‘very useful’; 54% stated that it was ‘more or less useful’; and 23% stated that it was ‘not very useful’. Out of 604 responses the top five resources accessed through the Facebook page were: 45% Events; 34% Useful Links; 24% Photos; 19% Discussions; 17% Videos. </w:t>
      </w:r>
    </w:p>
    <w:p w14:paraId="44847839" w14:textId="77777777" w:rsidR="00244304" w:rsidRPr="000330E5" w:rsidRDefault="00244304" w:rsidP="001A18C7">
      <w:pPr>
        <w:jc w:val="both"/>
        <w:rPr>
          <w:rFonts w:ascii="Palatino Linotype" w:hAnsi="Palatino Linotype" w:cs="Times New Roman"/>
          <w:sz w:val="22"/>
          <w:szCs w:val="22"/>
        </w:rPr>
      </w:pPr>
    </w:p>
    <w:p w14:paraId="145E3594" w14:textId="77777777" w:rsidR="00B40DFC" w:rsidRPr="000330E5" w:rsidRDefault="00B40DFC" w:rsidP="001A18C7">
      <w:pPr>
        <w:jc w:val="both"/>
        <w:rPr>
          <w:rFonts w:ascii="Palatino Linotype" w:hAnsi="Palatino Linotype" w:cs="Times New Roman"/>
          <w:i/>
          <w:sz w:val="22"/>
          <w:szCs w:val="22"/>
        </w:rPr>
      </w:pPr>
      <w:r w:rsidRPr="000330E5">
        <w:rPr>
          <w:rFonts w:ascii="Palatino Linotype" w:hAnsi="Palatino Linotype" w:cs="Times New Roman"/>
          <w:i/>
          <w:sz w:val="22"/>
          <w:szCs w:val="22"/>
        </w:rPr>
        <w:t xml:space="preserve">Conclusion and Future Developments </w:t>
      </w:r>
    </w:p>
    <w:p w14:paraId="7D3A2FCD" w14:textId="6AC51065" w:rsidR="00B40DFC" w:rsidRPr="000330E5" w:rsidRDefault="00B40DFC" w:rsidP="001A18C7">
      <w:pPr>
        <w:jc w:val="both"/>
        <w:rPr>
          <w:rFonts w:ascii="Palatino Linotype" w:hAnsi="Palatino Linotype" w:cs="Times New Roman"/>
          <w:sz w:val="22"/>
          <w:szCs w:val="22"/>
        </w:rPr>
      </w:pPr>
      <w:r w:rsidRPr="000330E5">
        <w:rPr>
          <w:rFonts w:ascii="Palatino Linotype" w:hAnsi="Palatino Linotype" w:cs="Times New Roman"/>
          <w:sz w:val="22"/>
          <w:szCs w:val="22"/>
        </w:rPr>
        <w:t>The results of the review were encouraging.</w:t>
      </w:r>
      <w:r w:rsidR="00320344" w:rsidRPr="00320344">
        <w:rPr>
          <w:rStyle w:val="FootnoteReference"/>
          <w:rFonts w:ascii="Palatino Linotype" w:hAnsi="Palatino Linotype" w:cs="Times New Roman"/>
          <w:sz w:val="22"/>
          <w:szCs w:val="22"/>
        </w:rPr>
        <w:t xml:space="preserve"> </w:t>
      </w:r>
      <w:r w:rsidR="00320344" w:rsidRPr="000330E5">
        <w:rPr>
          <w:rStyle w:val="FootnoteReference"/>
          <w:rFonts w:ascii="Palatino Linotype" w:hAnsi="Palatino Linotype" w:cs="Times New Roman"/>
          <w:sz w:val="22"/>
          <w:szCs w:val="22"/>
        </w:rPr>
        <w:footnoteReference w:id="13"/>
      </w:r>
      <w:r w:rsidRPr="000330E5">
        <w:rPr>
          <w:rFonts w:ascii="Palatino Linotype" w:hAnsi="Palatino Linotype" w:cs="Times New Roman"/>
          <w:sz w:val="22"/>
          <w:szCs w:val="22"/>
        </w:rPr>
        <w:t xml:space="preserve"> Suggested improvements from the students and the review itself focused on doing more with the structure by making more of the seven weekly themes and providing more on the </w:t>
      </w:r>
      <w:r w:rsidR="00F71C19" w:rsidRPr="000330E5">
        <w:rPr>
          <w:rFonts w:ascii="Palatino Linotype" w:hAnsi="Palatino Linotype" w:cs="Times New Roman"/>
          <w:sz w:val="22"/>
          <w:szCs w:val="22"/>
        </w:rPr>
        <w:t>Facebook</w:t>
      </w:r>
      <w:r w:rsidRPr="000330E5">
        <w:rPr>
          <w:rFonts w:ascii="Palatino Linotype" w:hAnsi="Palatino Linotype" w:cs="Times New Roman"/>
          <w:sz w:val="22"/>
          <w:szCs w:val="22"/>
        </w:rPr>
        <w:t xml:space="preserve"> page, especially to already existing services. It also acknow</w:t>
      </w:r>
      <w:r w:rsidR="00F71C19" w:rsidRPr="000330E5">
        <w:rPr>
          <w:rFonts w:ascii="Palatino Linotype" w:hAnsi="Palatino Linotype" w:cs="Times New Roman"/>
          <w:sz w:val="22"/>
          <w:szCs w:val="22"/>
        </w:rPr>
        <w:t>ledged that reaching out to non-</w:t>
      </w:r>
      <w:r w:rsidRPr="000330E5">
        <w:rPr>
          <w:rFonts w:ascii="Palatino Linotype" w:hAnsi="Palatino Linotype" w:cs="Times New Roman"/>
          <w:sz w:val="22"/>
          <w:szCs w:val="22"/>
        </w:rPr>
        <w:t xml:space="preserve">Facebook users needs to be further considered.  </w:t>
      </w:r>
    </w:p>
    <w:p w14:paraId="3C48BECA" w14:textId="77777777" w:rsidR="00B40DFC" w:rsidRPr="000330E5" w:rsidRDefault="00B40DFC" w:rsidP="001A18C7">
      <w:pPr>
        <w:jc w:val="both"/>
        <w:rPr>
          <w:rFonts w:ascii="Palatino Linotype" w:hAnsi="Palatino Linotype" w:cs="Times New Roman"/>
          <w:sz w:val="22"/>
          <w:szCs w:val="22"/>
        </w:rPr>
      </w:pPr>
    </w:p>
    <w:p w14:paraId="4DCC13D7" w14:textId="77777777" w:rsidR="00B40DFC" w:rsidRPr="000330E5" w:rsidRDefault="00B40DFC" w:rsidP="001A18C7">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Overall, the structure is sustainable from a cost-benefit analysis – the technology is free, the updating is done by staff, faculty and students, and resources can be reused yearly. </w:t>
      </w:r>
    </w:p>
    <w:p w14:paraId="2921EB62" w14:textId="77777777" w:rsidR="00B40DFC" w:rsidRPr="000330E5" w:rsidRDefault="00B40DFC" w:rsidP="001A18C7">
      <w:pPr>
        <w:jc w:val="both"/>
        <w:rPr>
          <w:rFonts w:ascii="Palatino Linotype" w:hAnsi="Palatino Linotype" w:cs="Times New Roman"/>
          <w:sz w:val="22"/>
          <w:szCs w:val="22"/>
        </w:rPr>
      </w:pPr>
    </w:p>
    <w:p w14:paraId="1E09196B" w14:textId="77777777" w:rsidR="00F71C19" w:rsidRPr="000330E5" w:rsidRDefault="00B40DFC" w:rsidP="001A18C7">
      <w:pPr>
        <w:jc w:val="both"/>
        <w:rPr>
          <w:rFonts w:ascii="Palatino Linotype" w:hAnsi="Palatino Linotype" w:cs="Times New Roman"/>
          <w:sz w:val="22"/>
          <w:szCs w:val="22"/>
        </w:rPr>
      </w:pPr>
      <w:r w:rsidRPr="000330E5">
        <w:rPr>
          <w:rFonts w:ascii="Palatino Linotype" w:hAnsi="Palatino Linotype" w:cs="Times New Roman"/>
          <w:sz w:val="22"/>
          <w:szCs w:val="22"/>
        </w:rPr>
        <w:t xml:space="preserve">Nonetheless, the authors of review also state: </w:t>
      </w:r>
    </w:p>
    <w:p w14:paraId="40CD05A4" w14:textId="043EFB23" w:rsidR="00B40DFC" w:rsidRPr="000330E5" w:rsidRDefault="00B40DFC" w:rsidP="00F71C19">
      <w:pPr>
        <w:ind w:left="720"/>
        <w:jc w:val="both"/>
        <w:rPr>
          <w:rFonts w:ascii="Palatino Linotype" w:hAnsi="Palatino Linotype" w:cs="Times New Roman"/>
          <w:sz w:val="22"/>
          <w:szCs w:val="22"/>
        </w:rPr>
      </w:pPr>
      <w:r w:rsidRPr="000330E5">
        <w:rPr>
          <w:rFonts w:ascii="Palatino Linotype" w:hAnsi="Palatino Linotype" w:cs="Times New Roman"/>
          <w:sz w:val="22"/>
          <w:szCs w:val="22"/>
        </w:rPr>
        <w:t>in our experience, the advantages of social media may cover up the administrative and support resources required for them to</w:t>
      </w:r>
      <w:r w:rsidR="00B70392">
        <w:rPr>
          <w:rFonts w:ascii="Palatino Linotype" w:hAnsi="Palatino Linotype" w:cs="Times New Roman"/>
          <w:sz w:val="22"/>
          <w:szCs w:val="22"/>
        </w:rPr>
        <w:t xml:space="preserve"> be effective.</w:t>
      </w:r>
      <w:r w:rsidRPr="000330E5">
        <w:rPr>
          <w:rFonts w:ascii="Palatino Linotype" w:hAnsi="Palatino Linotype" w:cs="Times New Roman"/>
          <w:sz w:val="22"/>
          <w:szCs w:val="22"/>
        </w:rPr>
        <w:t xml:space="preserve"> It is important to note that online facilitated programmes and communication, similar to the use of Facebook within the First Seven Weeks programme, are not necessarily a cheaper solution. Indeed, they can be even more intensive from the point of view of coordination as it is expected that frequent communication will be maintained with increasingly large cohorts. Hence, return on investment is essential and best practice sho</w:t>
      </w:r>
      <w:r w:rsidR="00F71C19" w:rsidRPr="000330E5">
        <w:rPr>
          <w:rFonts w:ascii="Palatino Linotype" w:hAnsi="Palatino Linotype" w:cs="Times New Roman"/>
          <w:sz w:val="22"/>
          <w:szCs w:val="22"/>
        </w:rPr>
        <w:t>uld be observed and maintained.</w:t>
      </w:r>
      <w:r w:rsidRPr="000330E5">
        <w:rPr>
          <w:rFonts w:ascii="Palatino Linotype" w:hAnsi="Palatino Linotype" w:cs="Times New Roman"/>
          <w:sz w:val="22"/>
          <w:szCs w:val="22"/>
        </w:rPr>
        <w:t xml:space="preserve">  </w:t>
      </w:r>
    </w:p>
    <w:p w14:paraId="15F2E5A4" w14:textId="77777777" w:rsidR="00433F9F" w:rsidRPr="000330E5" w:rsidRDefault="00433F9F" w:rsidP="001A18C7">
      <w:pPr>
        <w:jc w:val="both"/>
        <w:rPr>
          <w:rFonts w:ascii="Palatino Linotype" w:hAnsi="Palatino Linotype" w:cs="Times New Roman"/>
          <w:sz w:val="22"/>
          <w:szCs w:val="22"/>
        </w:rPr>
      </w:pPr>
    </w:p>
    <w:p w14:paraId="28ADA0F0" w14:textId="77777777" w:rsidR="00FF3BF6" w:rsidRPr="000330E5" w:rsidRDefault="00FF3BF6" w:rsidP="0072005E">
      <w:pPr>
        <w:jc w:val="both"/>
        <w:rPr>
          <w:rFonts w:ascii="Palatino Linotype" w:hAnsi="Palatino Linotype" w:cs="Times New Roman"/>
          <w:sz w:val="22"/>
          <w:szCs w:val="22"/>
        </w:rPr>
      </w:pPr>
    </w:p>
    <w:sectPr w:rsidR="00FF3BF6" w:rsidRPr="000330E5" w:rsidSect="0071220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ECA1" w14:textId="77777777" w:rsidR="00956D2B" w:rsidRDefault="00956D2B" w:rsidP="001E4EE6">
      <w:r>
        <w:separator/>
      </w:r>
    </w:p>
  </w:endnote>
  <w:endnote w:type="continuationSeparator" w:id="0">
    <w:p w14:paraId="5D343BC5" w14:textId="77777777" w:rsidR="00956D2B" w:rsidRDefault="00956D2B" w:rsidP="001E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CDF5" w14:textId="77777777" w:rsidR="00B70392" w:rsidRDefault="00B703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F6E5" w14:textId="77777777" w:rsidR="00B70392" w:rsidRDefault="00B703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F82" w14:textId="77777777" w:rsidR="00B70392" w:rsidRDefault="00B703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F6BB" w14:textId="77777777" w:rsidR="00956D2B" w:rsidRDefault="00956D2B" w:rsidP="001E4EE6">
      <w:r>
        <w:separator/>
      </w:r>
    </w:p>
  </w:footnote>
  <w:footnote w:type="continuationSeparator" w:id="0">
    <w:p w14:paraId="44D11ED8" w14:textId="77777777" w:rsidR="00956D2B" w:rsidRDefault="00956D2B" w:rsidP="001E4EE6">
      <w:r>
        <w:continuationSeparator/>
      </w:r>
    </w:p>
  </w:footnote>
  <w:footnote w:id="1">
    <w:p w14:paraId="4140B635" w14:textId="3BCE0883" w:rsidR="00B70392" w:rsidRPr="00320344" w:rsidRDefault="00B70392" w:rsidP="001A18C7">
      <w:pPr>
        <w:pStyle w:val="FootnoteText"/>
        <w:jc w:val="both"/>
        <w:rPr>
          <w:rFonts w:ascii="Palatino Linotype" w:hAnsi="Palatino Linotype" w:cs="Times New Roman"/>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w:t>
      </w:r>
      <w:r w:rsidRPr="00320344">
        <w:rPr>
          <w:rFonts w:ascii="Palatino Linotype" w:hAnsi="Palatino Linotype" w:cs="Times New Roman"/>
          <w:i/>
          <w:sz w:val="18"/>
          <w:szCs w:val="18"/>
        </w:rPr>
        <w:t>The National Strategy for Higher Education to 2030</w:t>
      </w:r>
      <w:r w:rsidRPr="00320344">
        <w:rPr>
          <w:rFonts w:ascii="Palatino Linotype" w:hAnsi="Palatino Linotype" w:cs="Times New Roman"/>
          <w:sz w:val="18"/>
          <w:szCs w:val="18"/>
        </w:rPr>
        <w:t xml:space="preserve">, </w:t>
      </w:r>
      <w:r w:rsidRPr="00320344">
        <w:rPr>
          <w:rFonts w:ascii="Palatino Linotype" w:hAnsi="Palatino Linotype" w:cs="Times New Roman"/>
          <w:sz w:val="18"/>
          <w:szCs w:val="18"/>
          <w:lang w:val="en-US"/>
        </w:rPr>
        <w:t>18.</w:t>
      </w:r>
    </w:p>
  </w:footnote>
  <w:footnote w:id="2">
    <w:p w14:paraId="0E813160" w14:textId="7B1203E8" w:rsidR="00B70392" w:rsidRPr="00320344" w:rsidRDefault="00B70392" w:rsidP="001A18C7">
      <w:pPr>
        <w:pStyle w:val="FootnoteText"/>
        <w:jc w:val="both"/>
        <w:rPr>
          <w:rFonts w:ascii="Palatino Linotype" w:hAnsi="Palatino Linotype" w:cs="Times New Roman"/>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w:t>
      </w:r>
      <w:r w:rsidRPr="00320344">
        <w:rPr>
          <w:rFonts w:ascii="Palatino Linotype" w:hAnsi="Palatino Linotype" w:cs="Times New Roman"/>
          <w:i/>
          <w:sz w:val="18"/>
          <w:szCs w:val="18"/>
        </w:rPr>
        <w:t>The National Strategy for Higher Education to 2030</w:t>
      </w:r>
      <w:r w:rsidRPr="00320344">
        <w:rPr>
          <w:rFonts w:ascii="Palatino Linotype" w:hAnsi="Palatino Linotype" w:cs="Times New Roman"/>
          <w:sz w:val="18"/>
          <w:szCs w:val="18"/>
        </w:rPr>
        <w:t>,</w:t>
      </w:r>
      <w:r w:rsidRPr="00320344">
        <w:rPr>
          <w:rFonts w:ascii="Palatino Linotype" w:hAnsi="Palatino Linotype" w:cs="Times New Roman"/>
          <w:sz w:val="18"/>
          <w:szCs w:val="18"/>
          <w:lang w:val="en-US"/>
        </w:rPr>
        <w:t xml:space="preserve"> 56.</w:t>
      </w:r>
    </w:p>
  </w:footnote>
  <w:footnote w:id="3">
    <w:p w14:paraId="1F00CF66" w14:textId="59B7F7FE" w:rsidR="00B70392" w:rsidRPr="00320344" w:rsidRDefault="00B70392" w:rsidP="001A18C7">
      <w:pPr>
        <w:pStyle w:val="FootnoteText"/>
        <w:jc w:val="both"/>
        <w:rPr>
          <w:rFonts w:ascii="Palatino Linotype" w:hAnsi="Palatino Linotype" w:cs="Times New Roman"/>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The Faculty of Theology, </w:t>
      </w:r>
      <w:r w:rsidRPr="00320344">
        <w:rPr>
          <w:rFonts w:ascii="Palatino Linotype" w:hAnsi="Palatino Linotype" w:cs="Times New Roman"/>
          <w:i/>
          <w:sz w:val="18"/>
          <w:szCs w:val="18"/>
          <w:lang w:val="en-US"/>
        </w:rPr>
        <w:t>Desire to Flourish: Strategic Plan 2015-2020</w:t>
      </w:r>
      <w:r w:rsidRPr="00320344">
        <w:rPr>
          <w:rFonts w:ascii="Palatino Linotype" w:hAnsi="Palatino Linotype" w:cs="Times New Roman"/>
          <w:sz w:val="18"/>
          <w:szCs w:val="18"/>
          <w:lang w:val="en-US"/>
        </w:rPr>
        <w:t xml:space="preserve"> (2015), 29.</w:t>
      </w:r>
    </w:p>
  </w:footnote>
  <w:footnote w:id="4">
    <w:p w14:paraId="066BD84C" w14:textId="51057720" w:rsidR="00B70392" w:rsidRPr="00320344" w:rsidRDefault="00B70392" w:rsidP="001A18C7">
      <w:pPr>
        <w:pStyle w:val="FootnoteText"/>
        <w:jc w:val="both"/>
        <w:rPr>
          <w:rFonts w:ascii="Palatino Linotype" w:hAnsi="Palatino Linotype" w:cs="Times New Roman"/>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The Faculty of Theology, </w:t>
      </w:r>
      <w:r w:rsidRPr="00320344">
        <w:rPr>
          <w:rFonts w:ascii="Palatino Linotype" w:hAnsi="Palatino Linotype" w:cs="Times New Roman"/>
          <w:i/>
          <w:sz w:val="18"/>
          <w:szCs w:val="18"/>
          <w:lang w:val="en-US"/>
        </w:rPr>
        <w:t>Desire to Flourish: Agenda Setting Document</w:t>
      </w:r>
      <w:r w:rsidRPr="00320344">
        <w:rPr>
          <w:rFonts w:ascii="Palatino Linotype" w:hAnsi="Palatino Linotype" w:cs="Times New Roman"/>
          <w:sz w:val="18"/>
          <w:szCs w:val="18"/>
          <w:lang w:val="en-US"/>
        </w:rPr>
        <w:t xml:space="preserve"> (2016), 7.</w:t>
      </w:r>
    </w:p>
  </w:footnote>
  <w:footnote w:id="5">
    <w:p w14:paraId="268101FD" w14:textId="192C4A67" w:rsidR="00B70392" w:rsidRPr="0071220C" w:rsidRDefault="00B70392" w:rsidP="0071220C">
      <w:pPr>
        <w:jc w:val="both"/>
        <w:rPr>
          <w:rFonts w:ascii="Palatino Linotype" w:hAnsi="Palatino Linotype" w:cs="Times New Roman"/>
          <w:sz w:val="18"/>
          <w:szCs w:val="18"/>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w:t>
      </w:r>
      <w:r w:rsidRPr="00320344">
        <w:rPr>
          <w:rFonts w:ascii="Palatino Linotype" w:hAnsi="Palatino Linotype" w:cs="Times New Roman"/>
          <w:i/>
          <w:sz w:val="18"/>
          <w:szCs w:val="18"/>
        </w:rPr>
        <w:t>A Study of Progression in Irish Higher Education</w:t>
      </w:r>
      <w:r w:rsidRPr="00320344">
        <w:rPr>
          <w:rFonts w:ascii="Palatino Linotype" w:hAnsi="Palatino Linotype" w:cs="Times New Roman"/>
          <w:sz w:val="18"/>
          <w:szCs w:val="18"/>
        </w:rPr>
        <w:t xml:space="preserve"> (2016) </w:t>
      </w:r>
      <w:r w:rsidR="00805C30" w:rsidRPr="00320344">
        <w:rPr>
          <w:rFonts w:ascii="Palatino Linotype" w:hAnsi="Palatino Linotype" w:cs="Times New Roman"/>
          <w:sz w:val="18"/>
          <w:szCs w:val="18"/>
          <w:lang w:val="en-US"/>
        </w:rPr>
        <w:t>The Higher Education Authority (HEA) gauge the students on March 1</w:t>
      </w:r>
      <w:r w:rsidR="00805C30" w:rsidRPr="00320344">
        <w:rPr>
          <w:rFonts w:ascii="Palatino Linotype" w:hAnsi="Palatino Linotype" w:cs="Times New Roman"/>
          <w:sz w:val="18"/>
          <w:szCs w:val="18"/>
          <w:vertAlign w:val="superscript"/>
          <w:lang w:val="en-US"/>
        </w:rPr>
        <w:t>st</w:t>
      </w:r>
      <w:r w:rsidR="00805C30" w:rsidRPr="00320344">
        <w:rPr>
          <w:rFonts w:ascii="Palatino Linotype" w:hAnsi="Palatino Linotype" w:cs="Times New Roman"/>
          <w:sz w:val="18"/>
          <w:szCs w:val="18"/>
          <w:lang w:val="en-US"/>
        </w:rPr>
        <w:t xml:space="preserve"> of the year following registration.</w:t>
      </w:r>
      <w:r w:rsidR="0071220C">
        <w:rPr>
          <w:rFonts w:ascii="Palatino Linotype" w:hAnsi="Palatino Linotype" w:cs="Times New Roman"/>
          <w:sz w:val="18"/>
          <w:szCs w:val="18"/>
          <w:lang w:val="en-US"/>
        </w:rPr>
        <w:t xml:space="preserve"> For further definition of terms see </w:t>
      </w:r>
      <w:r w:rsidR="0071220C" w:rsidRPr="00320344">
        <w:rPr>
          <w:rFonts w:ascii="Palatino Linotype" w:hAnsi="Palatino Linotype" w:cs="Times New Roman"/>
          <w:i/>
          <w:sz w:val="18"/>
          <w:szCs w:val="18"/>
        </w:rPr>
        <w:t>Qualifications and Quality Assurance (Education and Training) Act 2012, Part 1, Student Retention Policy</w:t>
      </w:r>
      <w:r w:rsidR="0071220C" w:rsidRPr="00320344">
        <w:rPr>
          <w:rFonts w:ascii="Palatino Linotype" w:hAnsi="Palatino Linotype" w:cs="Times New Roman"/>
          <w:sz w:val="18"/>
          <w:szCs w:val="18"/>
        </w:rPr>
        <w:t xml:space="preserve">, 4. </w:t>
      </w:r>
    </w:p>
  </w:footnote>
  <w:footnote w:id="6">
    <w:p w14:paraId="6400B61B" w14:textId="77777777" w:rsidR="00B70392" w:rsidRPr="00320344" w:rsidRDefault="00B70392" w:rsidP="001A18C7">
      <w:pPr>
        <w:jc w:val="both"/>
        <w:rPr>
          <w:rFonts w:ascii="Palatino Linotype" w:hAnsi="Palatino Linotype" w:cs="Times New Roman"/>
          <w:sz w:val="18"/>
          <w:szCs w:val="18"/>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w:t>
      </w:r>
      <w:r w:rsidRPr="00320344">
        <w:rPr>
          <w:rFonts w:ascii="Palatino Linotype" w:hAnsi="Palatino Linotype" w:cs="Times New Roman"/>
          <w:sz w:val="18"/>
          <w:szCs w:val="18"/>
          <w:lang w:val="en-US"/>
        </w:rPr>
        <w:t xml:space="preserve">For the sake of comparison, it is interesting to note </w:t>
      </w:r>
      <w:r w:rsidRPr="00320344">
        <w:rPr>
          <w:rFonts w:ascii="Palatino Linotype" w:hAnsi="Palatino Linotype" w:cs="Times New Roman"/>
          <w:sz w:val="18"/>
          <w:szCs w:val="18"/>
        </w:rPr>
        <w:t>the above average non-progression rates in the fields of Construction and Related, Services, Computer Science and Engineering. Computer Science has the highest rate of non-progression at level 8 but this varies greatly between universities (15%) and institutes of technology (26%) as well as between institutions.</w:t>
      </w:r>
    </w:p>
  </w:footnote>
  <w:footnote w:id="7">
    <w:p w14:paraId="1852C299" w14:textId="5ACD76EC" w:rsidR="00B70392" w:rsidRPr="00320344" w:rsidRDefault="00B70392" w:rsidP="001A18C7">
      <w:pPr>
        <w:pStyle w:val="FootnoteText"/>
        <w:jc w:val="both"/>
        <w:rPr>
          <w:rFonts w:ascii="Palatino Linotype" w:hAnsi="Palatino Linotype" w:cs="Times New Roman"/>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See http://www.hea.ie/news/hea-study-highlights-84-students-progressed-their-2nd-year-study</w:t>
      </w:r>
    </w:p>
  </w:footnote>
  <w:footnote w:id="8">
    <w:p w14:paraId="36E32817" w14:textId="5E70CA76" w:rsidR="00B70392" w:rsidRPr="00320344" w:rsidRDefault="00B70392" w:rsidP="001A18C7">
      <w:pPr>
        <w:widowControl w:val="0"/>
        <w:autoSpaceDE w:val="0"/>
        <w:autoSpaceDN w:val="0"/>
        <w:adjustRightInd w:val="0"/>
        <w:jc w:val="both"/>
        <w:rPr>
          <w:rFonts w:ascii="Palatino Linotype" w:hAnsi="Palatino Linotype" w:cs="Times New Roman"/>
          <w:color w:val="000000"/>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w:t>
      </w:r>
      <w:r w:rsidRPr="00320344">
        <w:rPr>
          <w:rFonts w:ascii="Palatino Linotype" w:hAnsi="Palatino Linotype" w:cs="Times New Roman"/>
          <w:color w:val="000000"/>
          <w:sz w:val="18"/>
          <w:szCs w:val="18"/>
          <w:lang w:val="en-US"/>
        </w:rPr>
        <w:t>A Study of Progression in Irish Higher Education Institutions, 2010/11 to 2011/12 Report by the Higher Education Authority 2014. See: http://www.hea.ie/sites/default/files/hea-progression-irish-higher-education_final.pdf</w:t>
      </w:r>
    </w:p>
  </w:footnote>
  <w:footnote w:id="9">
    <w:p w14:paraId="6A5D8EB4" w14:textId="113C5CD8" w:rsidR="00B70392" w:rsidRPr="00320344" w:rsidRDefault="00B70392" w:rsidP="001A18C7">
      <w:pPr>
        <w:widowControl w:val="0"/>
        <w:autoSpaceDE w:val="0"/>
        <w:autoSpaceDN w:val="0"/>
        <w:adjustRightInd w:val="0"/>
        <w:jc w:val="both"/>
        <w:rPr>
          <w:rFonts w:ascii="Palatino Linotype" w:hAnsi="Palatino Linotype" w:cs="Times New Roman"/>
          <w:color w:val="000000"/>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w:t>
      </w:r>
      <w:r w:rsidRPr="00320344">
        <w:rPr>
          <w:rFonts w:ascii="Palatino Linotype" w:hAnsi="Palatino Linotype" w:cs="Times New Roman"/>
          <w:color w:val="000000"/>
          <w:sz w:val="18"/>
          <w:szCs w:val="18"/>
          <w:lang w:val="en-US"/>
        </w:rPr>
        <w:t xml:space="preserve">Astin, A. W. Student involvement: A developmental theory for higher education. </w:t>
      </w:r>
      <w:r w:rsidRPr="00320344">
        <w:rPr>
          <w:rFonts w:ascii="Palatino Linotype" w:hAnsi="Palatino Linotype" w:cs="Times New Roman"/>
          <w:i/>
          <w:iCs/>
          <w:color w:val="000000"/>
          <w:sz w:val="18"/>
          <w:szCs w:val="18"/>
          <w:lang w:val="en-US"/>
        </w:rPr>
        <w:t>Journal of College Student Personnel</w:t>
      </w:r>
      <w:r w:rsidRPr="00320344">
        <w:rPr>
          <w:rFonts w:ascii="Palatino Linotype" w:hAnsi="Palatino Linotype" w:cs="Times New Roman"/>
          <w:color w:val="000000"/>
          <w:sz w:val="18"/>
          <w:szCs w:val="18"/>
          <w:lang w:val="en-US"/>
        </w:rPr>
        <w:t xml:space="preserve">, 25, (1984): 297-308; Irish Universities Quality Board, </w:t>
      </w:r>
      <w:r w:rsidRPr="00320344">
        <w:rPr>
          <w:rFonts w:ascii="Palatino Linotype" w:hAnsi="Palatino Linotype" w:cs="Times New Roman"/>
          <w:i/>
          <w:iCs/>
          <w:color w:val="000000"/>
          <w:sz w:val="18"/>
          <w:szCs w:val="18"/>
          <w:lang w:val="en-US"/>
        </w:rPr>
        <w:t>Good practice in the organization of student support services in Irish universities</w:t>
      </w:r>
      <w:r w:rsidRPr="00320344">
        <w:rPr>
          <w:rFonts w:ascii="Palatino Linotype" w:hAnsi="Palatino Linotype" w:cs="Times New Roman"/>
          <w:iCs/>
          <w:color w:val="000000"/>
          <w:sz w:val="18"/>
          <w:szCs w:val="18"/>
          <w:lang w:val="en-US"/>
        </w:rPr>
        <w:t xml:space="preserve"> (</w:t>
      </w:r>
      <w:r w:rsidRPr="00320344">
        <w:rPr>
          <w:rFonts w:ascii="Palatino Linotype" w:hAnsi="Palatino Linotype" w:cs="Times New Roman"/>
          <w:color w:val="000000"/>
          <w:sz w:val="18"/>
          <w:szCs w:val="18"/>
          <w:lang w:val="en-US"/>
        </w:rPr>
        <w:t xml:space="preserve">Dublin: Higher Education Authority, 2006); Knox, H. Making the transition from further to higher education: the impact of a preparatory module on retention, progression and performance. </w:t>
      </w:r>
      <w:r w:rsidRPr="00320344">
        <w:rPr>
          <w:rFonts w:ascii="Palatino Linotype" w:hAnsi="Palatino Linotype" w:cs="Times New Roman"/>
          <w:i/>
          <w:iCs/>
          <w:color w:val="000000"/>
          <w:sz w:val="18"/>
          <w:szCs w:val="18"/>
          <w:lang w:val="en-US"/>
        </w:rPr>
        <w:t>Journal of Further and Higher Education</w:t>
      </w:r>
      <w:r w:rsidRPr="00320344">
        <w:rPr>
          <w:rFonts w:ascii="Palatino Linotype" w:hAnsi="Palatino Linotype" w:cs="Times New Roman"/>
          <w:color w:val="000000"/>
          <w:sz w:val="18"/>
          <w:szCs w:val="18"/>
          <w:lang w:val="en-US"/>
        </w:rPr>
        <w:t xml:space="preserve">. 29, 2 (2005): 103-110; Lowe, H. and Cook, A. Mind the Gap: are students prepared for Higher Education? </w:t>
      </w:r>
      <w:r w:rsidRPr="00320344">
        <w:rPr>
          <w:rFonts w:ascii="Palatino Linotype" w:hAnsi="Palatino Linotype" w:cs="Times New Roman"/>
          <w:i/>
          <w:iCs/>
          <w:color w:val="000000"/>
          <w:sz w:val="18"/>
          <w:szCs w:val="18"/>
          <w:lang w:val="en-US"/>
        </w:rPr>
        <w:t>Journal of Further and Higher Education</w:t>
      </w:r>
      <w:r w:rsidRPr="00320344">
        <w:rPr>
          <w:rFonts w:ascii="Palatino Linotype" w:hAnsi="Palatino Linotype" w:cs="Times New Roman"/>
          <w:color w:val="000000"/>
          <w:sz w:val="18"/>
          <w:szCs w:val="18"/>
          <w:lang w:val="en-US"/>
        </w:rPr>
        <w:t xml:space="preserve">, 27, 1 (2003): 53-76. </w:t>
      </w:r>
    </w:p>
  </w:footnote>
  <w:footnote w:id="10">
    <w:p w14:paraId="7BD79334" w14:textId="77777777" w:rsidR="00B70392" w:rsidRPr="00320344" w:rsidRDefault="00B70392" w:rsidP="001A18C7">
      <w:pPr>
        <w:jc w:val="both"/>
        <w:rPr>
          <w:rFonts w:ascii="Palatino Linotype" w:hAnsi="Palatino Linotype" w:cs="Times New Roman"/>
          <w:sz w:val="18"/>
          <w:szCs w:val="18"/>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w:t>
      </w:r>
      <w:hyperlink r:id="rId1" w:history="1">
        <w:r w:rsidRPr="00320344">
          <w:rPr>
            <w:rFonts w:ascii="Palatino Linotype" w:hAnsi="Palatino Linotype" w:cs="Times New Roman"/>
            <w:sz w:val="18"/>
            <w:szCs w:val="18"/>
          </w:rPr>
          <w:t>Anthony Cook</w:t>
        </w:r>
      </w:hyperlink>
      <w:r w:rsidRPr="00320344">
        <w:rPr>
          <w:rFonts w:ascii="Palatino Linotype" w:hAnsi="Palatino Linotype" w:cs="Times New Roman"/>
          <w:sz w:val="18"/>
          <w:szCs w:val="18"/>
        </w:rPr>
        <w:t xml:space="preserve">, </w:t>
      </w:r>
      <w:hyperlink r:id="rId2" w:history="1">
        <w:r w:rsidRPr="00320344">
          <w:rPr>
            <w:rFonts w:ascii="Palatino Linotype" w:hAnsi="Palatino Linotype" w:cs="Times New Roman"/>
            <w:sz w:val="18"/>
            <w:szCs w:val="18"/>
          </w:rPr>
          <w:t>Brian Stanley Rushton</w:t>
        </w:r>
      </w:hyperlink>
      <w:r w:rsidRPr="00320344">
        <w:rPr>
          <w:rFonts w:ascii="Palatino Linotype" w:hAnsi="Palatino Linotype" w:cs="Times New Roman"/>
          <w:sz w:val="18"/>
          <w:szCs w:val="18"/>
        </w:rPr>
        <w:t xml:space="preserve">, </w:t>
      </w:r>
      <w:hyperlink r:id="rId3" w:history="1">
        <w:r w:rsidRPr="00320344">
          <w:rPr>
            <w:rFonts w:ascii="Palatino Linotype" w:hAnsi="Palatino Linotype" w:cs="Times New Roman"/>
            <w:sz w:val="18"/>
            <w:szCs w:val="18"/>
          </w:rPr>
          <w:t>Sinead Marie McCormick</w:t>
        </w:r>
      </w:hyperlink>
    </w:p>
    <w:p w14:paraId="3E3CD8D8" w14:textId="18371EEA" w:rsidR="00B70392" w:rsidRPr="00320344" w:rsidRDefault="00B70392" w:rsidP="001A18C7">
      <w:pPr>
        <w:pStyle w:val="FootnoteText"/>
        <w:jc w:val="both"/>
        <w:rPr>
          <w:rFonts w:ascii="Palatino Linotype" w:hAnsi="Palatino Linotype" w:cs="Times New Roman"/>
          <w:sz w:val="18"/>
          <w:szCs w:val="18"/>
          <w:lang w:val="en-US"/>
        </w:rPr>
      </w:pPr>
      <w:r w:rsidRPr="00320344">
        <w:rPr>
          <w:rFonts w:ascii="Palatino Linotype" w:hAnsi="Palatino Linotype" w:cs="Times New Roman"/>
          <w:i/>
          <w:sz w:val="18"/>
          <w:szCs w:val="18"/>
        </w:rPr>
        <w:t>Guidelines for the Management of Student Transition</w:t>
      </w:r>
      <w:r w:rsidRPr="00320344">
        <w:rPr>
          <w:rFonts w:ascii="Palatino Linotype" w:hAnsi="Palatino Linotype" w:cs="Times New Roman"/>
          <w:sz w:val="18"/>
          <w:szCs w:val="18"/>
        </w:rPr>
        <w:t xml:space="preserve"> (University of Ulster, 2005)</w:t>
      </w:r>
    </w:p>
  </w:footnote>
  <w:footnote w:id="11">
    <w:p w14:paraId="02997BD5" w14:textId="775AC4F9" w:rsidR="00B70392" w:rsidRPr="00320344" w:rsidRDefault="00B70392" w:rsidP="001A18C7">
      <w:pPr>
        <w:jc w:val="both"/>
        <w:rPr>
          <w:rFonts w:ascii="Palatino Linotype" w:hAnsi="Palatino Linotype" w:cs="Times New Roman"/>
          <w:sz w:val="18"/>
          <w:szCs w:val="18"/>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Yvonne Diggins, Angelica Risquez, Maura Murphy, </w:t>
      </w:r>
      <w:r w:rsidRPr="00320344">
        <w:rPr>
          <w:rFonts w:ascii="Palatino Linotype" w:hAnsi="Palatino Linotype" w:cs="Times New Roman"/>
          <w:i/>
          <w:sz w:val="18"/>
          <w:szCs w:val="18"/>
        </w:rPr>
        <w:t>Supporting First Year Students in their Academic and Social Adjustment to Higher education. A Case study of the First Seven Weeks Programme at the University of Limerick</w:t>
      </w:r>
      <w:r w:rsidRPr="00320344">
        <w:rPr>
          <w:rFonts w:ascii="Palatino Linotype" w:hAnsi="Palatino Linotype" w:cs="Times New Roman"/>
          <w:sz w:val="18"/>
          <w:szCs w:val="18"/>
        </w:rPr>
        <w:t xml:space="preserve">. </w:t>
      </w:r>
    </w:p>
  </w:footnote>
  <w:footnote w:id="12">
    <w:p w14:paraId="77B820AF" w14:textId="5FEFB800" w:rsidR="00B70392" w:rsidRPr="00320344" w:rsidRDefault="00B70392" w:rsidP="001A18C7">
      <w:pPr>
        <w:jc w:val="both"/>
        <w:rPr>
          <w:rFonts w:ascii="Palatino Linotype" w:hAnsi="Palatino Linotype" w:cs="Times New Roman"/>
          <w:sz w:val="18"/>
          <w:szCs w:val="18"/>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An app was also launched and QR codes on posters across campus.</w:t>
      </w:r>
    </w:p>
  </w:footnote>
  <w:footnote w:id="13">
    <w:p w14:paraId="5881130F" w14:textId="77777777" w:rsidR="00320344" w:rsidRPr="00320344" w:rsidRDefault="00320344" w:rsidP="00320344">
      <w:pPr>
        <w:pStyle w:val="FootnoteText"/>
        <w:jc w:val="both"/>
        <w:rPr>
          <w:rFonts w:ascii="Palatino Linotype" w:hAnsi="Palatino Linotype" w:cs="Times New Roman"/>
          <w:sz w:val="18"/>
          <w:szCs w:val="18"/>
          <w:lang w:val="en-US"/>
        </w:rPr>
      </w:pPr>
      <w:r w:rsidRPr="00320344">
        <w:rPr>
          <w:rStyle w:val="FootnoteReference"/>
          <w:rFonts w:ascii="Palatino Linotype" w:hAnsi="Palatino Linotype" w:cs="Times New Roman"/>
          <w:sz w:val="18"/>
          <w:szCs w:val="18"/>
        </w:rPr>
        <w:footnoteRef/>
      </w:r>
      <w:r w:rsidRPr="00320344">
        <w:rPr>
          <w:rFonts w:ascii="Palatino Linotype" w:hAnsi="Palatino Linotype" w:cs="Times New Roman"/>
          <w:sz w:val="18"/>
          <w:szCs w:val="18"/>
        </w:rPr>
        <w:t xml:space="preserve"> Open suggestions from respondents on how to improve the Facebook page for future first year students includes comments such as ‘More advertising/Greater visibility/More awareness’; ‘More entertaining events/photos/reminders/info’; ‘link it better with other UL initiatives’; ‘more students from the older years to help out’.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66A0" w14:textId="77777777" w:rsidR="00B70392" w:rsidRDefault="00B70392" w:rsidP="005F4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1D55B" w14:textId="1492609C" w:rsidR="00B70392" w:rsidRDefault="00B70392" w:rsidP="00C309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0089" w14:textId="77777777" w:rsidR="00B70392" w:rsidRDefault="00B70392" w:rsidP="005F4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D2B">
      <w:rPr>
        <w:rStyle w:val="PageNumber"/>
        <w:noProof/>
      </w:rPr>
      <w:t>1</w:t>
    </w:r>
    <w:r>
      <w:rPr>
        <w:rStyle w:val="PageNumber"/>
      </w:rPr>
      <w:fldChar w:fldCharType="end"/>
    </w:r>
  </w:p>
  <w:p w14:paraId="6D00B01D" w14:textId="5233495D" w:rsidR="00B70392" w:rsidRDefault="00B70392" w:rsidP="00C3096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A067" w14:textId="4E9102C2" w:rsidR="00B70392" w:rsidRDefault="00B703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B847FF"/>
    <w:multiLevelType w:val="hybridMultilevel"/>
    <w:tmpl w:val="4A8E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5483E"/>
    <w:multiLevelType w:val="hybridMultilevel"/>
    <w:tmpl w:val="8C8E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A12DE"/>
    <w:multiLevelType w:val="hybridMultilevel"/>
    <w:tmpl w:val="257ED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47280"/>
    <w:multiLevelType w:val="hybridMultilevel"/>
    <w:tmpl w:val="63B0A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456272"/>
    <w:multiLevelType w:val="hybridMultilevel"/>
    <w:tmpl w:val="619880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66464"/>
    <w:multiLevelType w:val="hybridMultilevel"/>
    <w:tmpl w:val="C922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82033"/>
    <w:multiLevelType w:val="hybridMultilevel"/>
    <w:tmpl w:val="4A8E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93A7B"/>
    <w:multiLevelType w:val="hybridMultilevel"/>
    <w:tmpl w:val="CE703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B5C12"/>
    <w:multiLevelType w:val="hybridMultilevel"/>
    <w:tmpl w:val="E82C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A0705"/>
    <w:multiLevelType w:val="hybridMultilevel"/>
    <w:tmpl w:val="ECA29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D599E"/>
    <w:multiLevelType w:val="hybridMultilevel"/>
    <w:tmpl w:val="8C5653C8"/>
    <w:lvl w:ilvl="0" w:tplc="8966928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077F3C"/>
    <w:multiLevelType w:val="hybridMultilevel"/>
    <w:tmpl w:val="6DA83BD0"/>
    <w:lvl w:ilvl="0" w:tplc="2F0C6DD2">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43DC5"/>
    <w:multiLevelType w:val="hybridMultilevel"/>
    <w:tmpl w:val="BBB4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60DEC"/>
    <w:multiLevelType w:val="hybridMultilevel"/>
    <w:tmpl w:val="12B88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F5A9F"/>
    <w:multiLevelType w:val="hybridMultilevel"/>
    <w:tmpl w:val="DEA85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66B23"/>
    <w:multiLevelType w:val="hybridMultilevel"/>
    <w:tmpl w:val="CD06E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72CDB"/>
    <w:multiLevelType w:val="hybridMultilevel"/>
    <w:tmpl w:val="1456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B7D1B"/>
    <w:multiLevelType w:val="hybridMultilevel"/>
    <w:tmpl w:val="3F4839D6"/>
    <w:lvl w:ilvl="0" w:tplc="89669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FE202E9"/>
    <w:multiLevelType w:val="hybridMultilevel"/>
    <w:tmpl w:val="A9E6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907F5"/>
    <w:multiLevelType w:val="hybridMultilevel"/>
    <w:tmpl w:val="287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4"/>
  </w:num>
  <w:num w:numId="4">
    <w:abstractNumId w:val="18"/>
  </w:num>
  <w:num w:numId="5">
    <w:abstractNumId w:val="1"/>
  </w:num>
  <w:num w:numId="6">
    <w:abstractNumId w:val="22"/>
  </w:num>
  <w:num w:numId="7">
    <w:abstractNumId w:val="14"/>
  </w:num>
  <w:num w:numId="8">
    <w:abstractNumId w:val="21"/>
  </w:num>
  <w:num w:numId="9">
    <w:abstractNumId w:val="2"/>
  </w:num>
  <w:num w:numId="10">
    <w:abstractNumId w:val="3"/>
  </w:num>
  <w:num w:numId="11">
    <w:abstractNumId w:val="4"/>
  </w:num>
  <w:num w:numId="12">
    <w:abstractNumId w:val="5"/>
  </w:num>
  <w:num w:numId="13">
    <w:abstractNumId w:val="20"/>
  </w:num>
  <w:num w:numId="14">
    <w:abstractNumId w:val="19"/>
  </w:num>
  <w:num w:numId="15">
    <w:abstractNumId w:val="8"/>
  </w:num>
  <w:num w:numId="16">
    <w:abstractNumId w:val="13"/>
  </w:num>
  <w:num w:numId="17">
    <w:abstractNumId w:val="10"/>
  </w:num>
  <w:num w:numId="18">
    <w:abstractNumId w:val="25"/>
  </w:num>
  <w:num w:numId="19">
    <w:abstractNumId w:val="7"/>
  </w:num>
  <w:num w:numId="20">
    <w:abstractNumId w:val="17"/>
  </w:num>
  <w:num w:numId="21">
    <w:abstractNumId w:val="15"/>
  </w:num>
  <w:num w:numId="22">
    <w:abstractNumId w:val="12"/>
  </w:num>
  <w:num w:numId="23">
    <w:abstractNumId w:val="6"/>
  </w:num>
  <w:num w:numId="24">
    <w:abstractNumId w:val="23"/>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44"/>
    <w:rsid w:val="00016B47"/>
    <w:rsid w:val="000330E5"/>
    <w:rsid w:val="000510C4"/>
    <w:rsid w:val="00051FB4"/>
    <w:rsid w:val="00052B78"/>
    <w:rsid w:val="00082FEC"/>
    <w:rsid w:val="000848D1"/>
    <w:rsid w:val="000B18A9"/>
    <w:rsid w:val="000B56F2"/>
    <w:rsid w:val="000B6AAC"/>
    <w:rsid w:val="001009A2"/>
    <w:rsid w:val="00111B6F"/>
    <w:rsid w:val="001320E2"/>
    <w:rsid w:val="0017018B"/>
    <w:rsid w:val="00174F0C"/>
    <w:rsid w:val="001A18C7"/>
    <w:rsid w:val="001A4C07"/>
    <w:rsid w:val="001B5035"/>
    <w:rsid w:val="001D3221"/>
    <w:rsid w:val="001E4EE6"/>
    <w:rsid w:val="0021593B"/>
    <w:rsid w:val="00244304"/>
    <w:rsid w:val="00245F34"/>
    <w:rsid w:val="00271D69"/>
    <w:rsid w:val="002D1714"/>
    <w:rsid w:val="003066FF"/>
    <w:rsid w:val="00306EDF"/>
    <w:rsid w:val="003150F2"/>
    <w:rsid w:val="00320344"/>
    <w:rsid w:val="00326E99"/>
    <w:rsid w:val="003330AC"/>
    <w:rsid w:val="00343460"/>
    <w:rsid w:val="003521C9"/>
    <w:rsid w:val="003A3AFD"/>
    <w:rsid w:val="003B5340"/>
    <w:rsid w:val="003B5E6F"/>
    <w:rsid w:val="00421D74"/>
    <w:rsid w:val="00425215"/>
    <w:rsid w:val="00433F9F"/>
    <w:rsid w:val="00462229"/>
    <w:rsid w:val="004A18A9"/>
    <w:rsid w:val="004C3EEB"/>
    <w:rsid w:val="004D156D"/>
    <w:rsid w:val="004D72FF"/>
    <w:rsid w:val="004D7535"/>
    <w:rsid w:val="004F3590"/>
    <w:rsid w:val="00505DF3"/>
    <w:rsid w:val="005412DB"/>
    <w:rsid w:val="0057752F"/>
    <w:rsid w:val="005968AC"/>
    <w:rsid w:val="005A1F72"/>
    <w:rsid w:val="005B4582"/>
    <w:rsid w:val="005E0FFC"/>
    <w:rsid w:val="005F37B0"/>
    <w:rsid w:val="005F4C08"/>
    <w:rsid w:val="006257B4"/>
    <w:rsid w:val="0064005B"/>
    <w:rsid w:val="00681FFE"/>
    <w:rsid w:val="00690435"/>
    <w:rsid w:val="006C0F7B"/>
    <w:rsid w:val="006C1070"/>
    <w:rsid w:val="006E55DF"/>
    <w:rsid w:val="006F5735"/>
    <w:rsid w:val="0071220C"/>
    <w:rsid w:val="0072005E"/>
    <w:rsid w:val="00727D24"/>
    <w:rsid w:val="0075159C"/>
    <w:rsid w:val="00753F05"/>
    <w:rsid w:val="00765264"/>
    <w:rsid w:val="00765809"/>
    <w:rsid w:val="00771A5D"/>
    <w:rsid w:val="0079167A"/>
    <w:rsid w:val="007A47A2"/>
    <w:rsid w:val="007B12E4"/>
    <w:rsid w:val="007B17B9"/>
    <w:rsid w:val="007B40E8"/>
    <w:rsid w:val="00805C30"/>
    <w:rsid w:val="00826D17"/>
    <w:rsid w:val="0084375A"/>
    <w:rsid w:val="008622F3"/>
    <w:rsid w:val="00862F22"/>
    <w:rsid w:val="008856D7"/>
    <w:rsid w:val="0089219E"/>
    <w:rsid w:val="00893208"/>
    <w:rsid w:val="008B5F3A"/>
    <w:rsid w:val="008D58B2"/>
    <w:rsid w:val="008E3BF1"/>
    <w:rsid w:val="00911930"/>
    <w:rsid w:val="00914010"/>
    <w:rsid w:val="009216C3"/>
    <w:rsid w:val="0093177A"/>
    <w:rsid w:val="00937DF7"/>
    <w:rsid w:val="00941FC4"/>
    <w:rsid w:val="00956D2B"/>
    <w:rsid w:val="0098409D"/>
    <w:rsid w:val="0099379A"/>
    <w:rsid w:val="00994577"/>
    <w:rsid w:val="009B4154"/>
    <w:rsid w:val="009B43F2"/>
    <w:rsid w:val="009C351D"/>
    <w:rsid w:val="009D35E3"/>
    <w:rsid w:val="009D7EBD"/>
    <w:rsid w:val="009F0BEF"/>
    <w:rsid w:val="00A14D95"/>
    <w:rsid w:val="00A92AA7"/>
    <w:rsid w:val="00A92C37"/>
    <w:rsid w:val="00AA046C"/>
    <w:rsid w:val="00AA2255"/>
    <w:rsid w:val="00AB7429"/>
    <w:rsid w:val="00AE6636"/>
    <w:rsid w:val="00B23637"/>
    <w:rsid w:val="00B25044"/>
    <w:rsid w:val="00B40DFC"/>
    <w:rsid w:val="00B6665A"/>
    <w:rsid w:val="00B6761E"/>
    <w:rsid w:val="00B70392"/>
    <w:rsid w:val="00B87D38"/>
    <w:rsid w:val="00B97D2E"/>
    <w:rsid w:val="00BC3849"/>
    <w:rsid w:val="00BD0439"/>
    <w:rsid w:val="00BD78F9"/>
    <w:rsid w:val="00C1562E"/>
    <w:rsid w:val="00C239F1"/>
    <w:rsid w:val="00C3096B"/>
    <w:rsid w:val="00C51A6C"/>
    <w:rsid w:val="00C61D0D"/>
    <w:rsid w:val="00C64AFC"/>
    <w:rsid w:val="00CA42C1"/>
    <w:rsid w:val="00CB4250"/>
    <w:rsid w:val="00D52C3C"/>
    <w:rsid w:val="00D73A2A"/>
    <w:rsid w:val="00D807FD"/>
    <w:rsid w:val="00E06D4B"/>
    <w:rsid w:val="00E15086"/>
    <w:rsid w:val="00E3049D"/>
    <w:rsid w:val="00E32F97"/>
    <w:rsid w:val="00E709C0"/>
    <w:rsid w:val="00E751EF"/>
    <w:rsid w:val="00EA48B5"/>
    <w:rsid w:val="00EB3584"/>
    <w:rsid w:val="00EC30EE"/>
    <w:rsid w:val="00F075B9"/>
    <w:rsid w:val="00F22A85"/>
    <w:rsid w:val="00F61B26"/>
    <w:rsid w:val="00F71C19"/>
    <w:rsid w:val="00F94B28"/>
    <w:rsid w:val="00FA2316"/>
    <w:rsid w:val="00FB33BA"/>
    <w:rsid w:val="00FD514C"/>
    <w:rsid w:val="00FF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494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44"/>
    <w:pPr>
      <w:ind w:left="720"/>
      <w:contextualSpacing/>
    </w:pPr>
  </w:style>
  <w:style w:type="paragraph" w:styleId="BalloonText">
    <w:name w:val="Balloon Text"/>
    <w:basedOn w:val="Normal"/>
    <w:link w:val="BalloonTextChar"/>
    <w:uiPriority w:val="99"/>
    <w:semiHidden/>
    <w:unhideWhenUsed/>
    <w:rsid w:val="008B5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F3A"/>
    <w:rPr>
      <w:rFonts w:ascii="Lucida Grande" w:hAnsi="Lucida Grande" w:cs="Lucida Grande"/>
      <w:sz w:val="18"/>
      <w:szCs w:val="18"/>
      <w:lang w:val="en-GB"/>
    </w:rPr>
  </w:style>
  <w:style w:type="paragraph" w:styleId="Header">
    <w:name w:val="header"/>
    <w:basedOn w:val="Normal"/>
    <w:link w:val="HeaderChar"/>
    <w:uiPriority w:val="99"/>
    <w:unhideWhenUsed/>
    <w:rsid w:val="001E4EE6"/>
    <w:pPr>
      <w:tabs>
        <w:tab w:val="center" w:pos="4320"/>
        <w:tab w:val="right" w:pos="8640"/>
      </w:tabs>
    </w:pPr>
  </w:style>
  <w:style w:type="character" w:customStyle="1" w:styleId="HeaderChar">
    <w:name w:val="Header Char"/>
    <w:basedOn w:val="DefaultParagraphFont"/>
    <w:link w:val="Header"/>
    <w:uiPriority w:val="99"/>
    <w:rsid w:val="001E4EE6"/>
    <w:rPr>
      <w:lang w:val="en-GB"/>
    </w:rPr>
  </w:style>
  <w:style w:type="paragraph" w:styleId="Footer">
    <w:name w:val="footer"/>
    <w:basedOn w:val="Normal"/>
    <w:link w:val="FooterChar"/>
    <w:uiPriority w:val="99"/>
    <w:unhideWhenUsed/>
    <w:rsid w:val="001E4EE6"/>
    <w:pPr>
      <w:tabs>
        <w:tab w:val="center" w:pos="4320"/>
        <w:tab w:val="right" w:pos="8640"/>
      </w:tabs>
    </w:pPr>
  </w:style>
  <w:style w:type="character" w:customStyle="1" w:styleId="FooterChar">
    <w:name w:val="Footer Char"/>
    <w:basedOn w:val="DefaultParagraphFont"/>
    <w:link w:val="Footer"/>
    <w:uiPriority w:val="99"/>
    <w:rsid w:val="001E4EE6"/>
    <w:rPr>
      <w:lang w:val="en-GB"/>
    </w:rPr>
  </w:style>
  <w:style w:type="paragraph" w:styleId="FootnoteText">
    <w:name w:val="footnote text"/>
    <w:basedOn w:val="Normal"/>
    <w:link w:val="FootnoteTextChar"/>
    <w:uiPriority w:val="99"/>
    <w:unhideWhenUsed/>
    <w:rsid w:val="00462229"/>
  </w:style>
  <w:style w:type="character" w:customStyle="1" w:styleId="FootnoteTextChar">
    <w:name w:val="Footnote Text Char"/>
    <w:basedOn w:val="DefaultParagraphFont"/>
    <w:link w:val="FootnoteText"/>
    <w:uiPriority w:val="99"/>
    <w:rsid w:val="00462229"/>
    <w:rPr>
      <w:lang w:val="en-GB"/>
    </w:rPr>
  </w:style>
  <w:style w:type="character" w:styleId="FootnoteReference">
    <w:name w:val="footnote reference"/>
    <w:basedOn w:val="DefaultParagraphFont"/>
    <w:uiPriority w:val="99"/>
    <w:unhideWhenUsed/>
    <w:rsid w:val="00462229"/>
    <w:rPr>
      <w:vertAlign w:val="superscript"/>
    </w:rPr>
  </w:style>
  <w:style w:type="character" w:styleId="PageNumber">
    <w:name w:val="page number"/>
    <w:basedOn w:val="DefaultParagraphFont"/>
    <w:uiPriority w:val="99"/>
    <w:semiHidden/>
    <w:unhideWhenUsed/>
    <w:rsid w:val="00C3096B"/>
  </w:style>
  <w:style w:type="table" w:styleId="TableGrid">
    <w:name w:val="Table Grid"/>
    <w:basedOn w:val="TableNormal"/>
    <w:uiPriority w:val="59"/>
    <w:rsid w:val="00640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169">
      <w:bodyDiv w:val="1"/>
      <w:marLeft w:val="0"/>
      <w:marRight w:val="0"/>
      <w:marTop w:val="0"/>
      <w:marBottom w:val="0"/>
      <w:divBdr>
        <w:top w:val="none" w:sz="0" w:space="0" w:color="auto"/>
        <w:left w:val="none" w:sz="0" w:space="0" w:color="auto"/>
        <w:bottom w:val="none" w:sz="0" w:space="0" w:color="auto"/>
        <w:right w:val="none" w:sz="0" w:space="0" w:color="auto"/>
      </w:divBdr>
    </w:div>
    <w:div w:id="503135333">
      <w:bodyDiv w:val="1"/>
      <w:marLeft w:val="0"/>
      <w:marRight w:val="0"/>
      <w:marTop w:val="0"/>
      <w:marBottom w:val="0"/>
      <w:divBdr>
        <w:top w:val="none" w:sz="0" w:space="0" w:color="auto"/>
        <w:left w:val="none" w:sz="0" w:space="0" w:color="auto"/>
        <w:bottom w:val="none" w:sz="0" w:space="0" w:color="auto"/>
        <w:right w:val="none" w:sz="0" w:space="0" w:color="auto"/>
      </w:divBdr>
    </w:div>
    <w:div w:id="873663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a/s/ref=dp_byline_sr_book_1?ie=UTF8&amp;field-author=Anthony+Cook&amp;search-alias=books-ca" TargetMode="External"/><Relationship Id="rId2" Type="http://schemas.openxmlformats.org/officeDocument/2006/relationships/hyperlink" Target="https://www.amazon.ca/s/ref=dp_byline_sr_book_2?ie=UTF8&amp;field-author=Brian+Stanley+Rushton&amp;search-alias=books-ca" TargetMode="External"/><Relationship Id="rId3" Type="http://schemas.openxmlformats.org/officeDocument/2006/relationships/hyperlink" Target="https://www.amazon.ca/s/ref=dp_byline_sr_book_3?ie=UTF8&amp;field-author=Sinead+Marie+McCormick&amp;search-alias=boo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60BF-1779-F648-9AAF-E40E4A2F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3218</Words>
  <Characters>18348</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Michael Shortall</cp:lastModifiedBy>
  <cp:revision>2</cp:revision>
  <cp:lastPrinted>2017-09-08T08:33:00Z</cp:lastPrinted>
  <dcterms:created xsi:type="dcterms:W3CDTF">2018-01-16T21:01:00Z</dcterms:created>
  <dcterms:modified xsi:type="dcterms:W3CDTF">2018-01-16T21:01:00Z</dcterms:modified>
</cp:coreProperties>
</file>